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93" w:rsidRPr="004F20BC" w:rsidRDefault="00B74093" w:rsidP="00B7409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  <w:lang w:eastAsia="ru-RU"/>
        </w:rPr>
      </w:pPr>
      <w:r w:rsidRPr="004F20BC">
        <w:rPr>
          <w:rFonts w:ascii="Arial" w:eastAsia="Calibri" w:hAnsi="Arial" w:cs="Arial"/>
          <w:i/>
          <w:iCs/>
          <w:color w:val="000000"/>
          <w:lang w:eastAsia="ru-RU"/>
        </w:rPr>
        <w:t xml:space="preserve">При опубликовании ссылка </w:t>
      </w:r>
    </w:p>
    <w:p w:rsidR="00B74093" w:rsidRPr="004F20BC" w:rsidRDefault="00B74093" w:rsidP="00B7409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lang w:eastAsia="ru-RU"/>
        </w:rPr>
      </w:pPr>
      <w:r w:rsidRPr="004F20BC">
        <w:rPr>
          <w:rFonts w:ascii="Arial" w:eastAsia="Calibri" w:hAnsi="Arial" w:cs="Arial"/>
          <w:i/>
          <w:iCs/>
          <w:color w:val="000000"/>
          <w:lang w:eastAsia="ru-RU"/>
        </w:rPr>
        <w:t>на Сах</w:t>
      </w:r>
      <w:proofErr w:type="gramStart"/>
      <w:r w:rsidRPr="004F20BC">
        <w:rPr>
          <w:rFonts w:ascii="Arial" w:eastAsia="Calibri" w:hAnsi="Arial" w:cs="Arial"/>
          <w:i/>
          <w:iCs/>
          <w:color w:val="000000"/>
          <w:lang w:eastAsia="ru-RU"/>
        </w:rPr>
        <w:t>а(</w:t>
      </w:r>
      <w:proofErr w:type="gramEnd"/>
      <w:r w:rsidRPr="004F20BC">
        <w:rPr>
          <w:rFonts w:ascii="Arial" w:eastAsia="Calibri" w:hAnsi="Arial" w:cs="Arial"/>
          <w:i/>
          <w:iCs/>
          <w:color w:val="000000"/>
          <w:lang w:eastAsia="ru-RU"/>
        </w:rPr>
        <w:t>Якутия)</w:t>
      </w:r>
      <w:proofErr w:type="spellStart"/>
      <w:r w:rsidRPr="004F20BC">
        <w:rPr>
          <w:rFonts w:ascii="Arial" w:eastAsia="Calibri" w:hAnsi="Arial" w:cs="Arial"/>
          <w:i/>
          <w:iCs/>
          <w:color w:val="000000"/>
          <w:lang w:eastAsia="ru-RU"/>
        </w:rPr>
        <w:t>стат</w:t>
      </w:r>
      <w:proofErr w:type="spellEnd"/>
      <w:r w:rsidRPr="004F20BC">
        <w:rPr>
          <w:rFonts w:ascii="Arial" w:eastAsia="Calibri" w:hAnsi="Arial" w:cs="Arial"/>
          <w:i/>
          <w:iCs/>
          <w:color w:val="000000"/>
          <w:lang w:eastAsia="ru-RU"/>
        </w:rPr>
        <w:t xml:space="preserve"> обязательна </w:t>
      </w:r>
    </w:p>
    <w:p w:rsidR="00B74093" w:rsidRPr="004F20BC" w:rsidRDefault="00B74093" w:rsidP="00B740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:rsidR="00B74093" w:rsidRPr="004F20BC" w:rsidRDefault="00B74093" w:rsidP="00B740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:rsidR="00B74093" w:rsidRPr="004F20BC" w:rsidRDefault="00B74093" w:rsidP="00B740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</w:p>
    <w:p w:rsidR="00B74093" w:rsidRPr="004F20BC" w:rsidRDefault="00B74093" w:rsidP="00B740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  <w:r w:rsidRPr="004F20BC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 xml:space="preserve">ТЕРРИТОРИАЛЬНЫЙ ОРГАН ФЕДЕРАЛЬНОЙ СЛУЖБЫ </w:t>
      </w:r>
    </w:p>
    <w:p w:rsidR="00B74093" w:rsidRPr="004F20BC" w:rsidRDefault="00B74093" w:rsidP="00B740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</w:pPr>
      <w:r w:rsidRPr="004F20BC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 xml:space="preserve">ГОСУДАРСТВЕННОЙ СТАТИСТИКИ </w:t>
      </w:r>
      <w:proofErr w:type="gramStart"/>
      <w:r w:rsidRPr="004F20BC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>ПО</w:t>
      </w:r>
      <w:proofErr w:type="gramEnd"/>
      <w:r w:rsidRPr="004F20BC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B74093" w:rsidRPr="004F20BC" w:rsidRDefault="00B74093" w:rsidP="00B7409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4F20BC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 xml:space="preserve">РЕСПУБЛИКЕ САХА (ЯКУТИЯ) </w:t>
      </w:r>
    </w:p>
    <w:p w:rsidR="00B74093" w:rsidRPr="004F20BC" w:rsidRDefault="00B74093" w:rsidP="00B74093">
      <w:pPr>
        <w:autoSpaceDE w:val="0"/>
        <w:autoSpaceDN w:val="0"/>
        <w:adjustRightInd w:val="0"/>
        <w:spacing w:before="60" w:after="0" w:line="240" w:lineRule="auto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4F20BC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>- САХ</w:t>
      </w:r>
      <w:proofErr w:type="gramStart"/>
      <w:r w:rsidRPr="004F20BC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>А(</w:t>
      </w:r>
      <w:proofErr w:type="gramEnd"/>
      <w:r w:rsidRPr="004F20BC">
        <w:rPr>
          <w:rFonts w:ascii="Arial" w:eastAsia="Calibri" w:hAnsi="Arial" w:cs="Arial"/>
          <w:b/>
          <w:bCs/>
          <w:color w:val="000000"/>
          <w:sz w:val="20"/>
          <w:szCs w:val="20"/>
          <w:lang w:eastAsia="ru-RU"/>
        </w:rPr>
        <w:t xml:space="preserve">ЯКУТИЯ)СТАТ </w:t>
      </w:r>
    </w:p>
    <w:p w:rsidR="00B74093" w:rsidRPr="004F20BC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</w:p>
    <w:p w:rsidR="00B74093" w:rsidRPr="004F20BC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</w:p>
    <w:p w:rsidR="00B74093" w:rsidRPr="004F20BC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F20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ПРЕСС-ВЫПУСК </w:t>
      </w:r>
    </w:p>
    <w:p w:rsidR="00B74093" w:rsidRPr="004F20BC" w:rsidRDefault="00B74093" w:rsidP="00B74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F20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949DF">
        <w:rPr>
          <w:rFonts w:ascii="Times New Roman" w:eastAsia="Times New Roman" w:hAnsi="Times New Roman" w:cs="Times New Roman"/>
          <w:sz w:val="24"/>
          <w:szCs w:val="24"/>
          <w:lang w:eastAsia="ru-RU"/>
        </w:rPr>
        <w:t>04-85-</w:t>
      </w:r>
      <w:r w:rsidR="0026378C" w:rsidRPr="0026378C">
        <w:rPr>
          <w:rFonts w:ascii="Times New Roman" w:eastAsia="Times New Roman" w:hAnsi="Times New Roman" w:cs="Times New Roman"/>
          <w:sz w:val="24"/>
          <w:szCs w:val="24"/>
          <w:lang w:eastAsia="ru-RU"/>
        </w:rPr>
        <w:t>543</w:t>
      </w:r>
      <w:r w:rsidRPr="004F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78C" w:rsidRPr="0026378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2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378C" w:rsidRPr="00C239B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4F20B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74093" w:rsidRPr="003532F2" w:rsidRDefault="00B74093" w:rsidP="00B7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74093" w:rsidRPr="003532F2" w:rsidRDefault="00B74093" w:rsidP="00B7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74093" w:rsidRPr="00B74093" w:rsidRDefault="00B74093" w:rsidP="00B7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740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ПРОМЫШЛЕННОЕ ПРОИЗВОДСТВО </w:t>
      </w:r>
    </w:p>
    <w:p w:rsidR="00B74093" w:rsidRPr="00B74093" w:rsidRDefault="00B74093" w:rsidP="00B74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0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РЕСПУБЛИКЕ САХА (ЯКУТИЯ) в 2019 году</w:t>
      </w:r>
    </w:p>
    <w:p w:rsidR="00B74093" w:rsidRPr="00B74093" w:rsidRDefault="00B74093" w:rsidP="00B74093">
      <w:pPr>
        <w:autoSpaceDE w:val="0"/>
        <w:autoSpaceDN w:val="0"/>
        <w:adjustRightInd w:val="0"/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Промышленное производство занимает ведущее место в развитии экономики Республики Саха (Якутия) и является одним из определяющих секторов в производстве валового регионального продукта (ВРП). В 2018 году </w:t>
      </w:r>
      <w:r w:rsidRPr="00B7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удельный вес</w:t>
      </w: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 в объеме ВРП составлял </w:t>
      </w:r>
      <w:r w:rsidRPr="00B7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57,4</w:t>
      </w: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B74093" w:rsidRPr="00B74093" w:rsidRDefault="00B74093" w:rsidP="00B7409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сфере промышленности было </w:t>
      </w:r>
      <w:r w:rsidRPr="00B7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зарегистрировано 2265</w:t>
      </w: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и организаций, из них в «Добыче полезных ископаемых» - 658, «Обрабатывающих производствах» - 1146, «</w:t>
      </w:r>
      <w:r w:rsidRPr="00B74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Обеспечении электрической энергией, газом и паром; кондиционировании воздуха» - 276, «Водоснабжении; водоотведении, организации сбора и утилизации отходов, деятельности по ликвидации загрязнений» - 185.</w:t>
      </w:r>
    </w:p>
    <w:p w:rsidR="00B74093" w:rsidRPr="00B74093" w:rsidRDefault="00B74093" w:rsidP="00B7409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2019 год </w:t>
      </w:r>
      <w:r w:rsidRPr="00B7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отгружено товаров собственного производства, выполнено работ и услуг собственными силами</w:t>
      </w: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="00C23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1004,4 </w:t>
      </w:r>
      <w:r w:rsidRPr="00B7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млрд. рублей</w:t>
      </w: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 сравнению с 2018 годом больше на 6,5% (в действующих ценах). В структуре объема отгруженных товаров собственного производства </w:t>
      </w:r>
      <w:r w:rsidRPr="00B740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формам собственности</w:t>
      </w: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хозяйствующих субъектов наибольшая доля приходилась на предприятия частной и смешанной российской форм собственности:</w:t>
      </w:r>
    </w:p>
    <w:p w:rsidR="00B74093" w:rsidRPr="00B74093" w:rsidRDefault="00B74093" w:rsidP="00B7409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7409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СТРУКТУРА ОБЪЕМА ОТГРУЖЕННЫХ ТОВАРОВ СОБСТВЕННОГО ПРОИЗВОДСТВА </w:t>
      </w:r>
    </w:p>
    <w:p w:rsidR="00B74093" w:rsidRPr="00B74093" w:rsidRDefault="00B74093" w:rsidP="00B7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7409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ПО ФОРМАМ СОБСТВЕННОСТИ ХОЗЯЙСТВУЮЩИХ СУБЪЕКТОВ ЗА 2015-2019 ГОДЫ</w:t>
      </w:r>
    </w:p>
    <w:p w:rsidR="00B74093" w:rsidRDefault="00B74093" w:rsidP="00B74093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B74093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Pr="00B74093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B74093">
        <w:rPr>
          <w:rFonts w:ascii="Times New Roman" w:eastAsia="Times New Roman" w:hAnsi="Times New Roman" w:cs="Times New Roman"/>
          <w:szCs w:val="24"/>
          <w:lang w:eastAsia="ru-RU"/>
        </w:rPr>
        <w:t xml:space="preserve"> % к итогу)</w:t>
      </w:r>
    </w:p>
    <w:p w:rsidR="00EA28F0" w:rsidRDefault="00EA28F0" w:rsidP="00B74093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903CD81" wp14:editId="0EEE5999">
            <wp:extent cx="6152515" cy="2208530"/>
            <wp:effectExtent l="0" t="0" r="0" b="12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74093" w:rsidRPr="00B74093" w:rsidRDefault="00B74093" w:rsidP="00B7409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726B3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В структуре объема отгруженных товаров собственного производства </w:t>
      </w:r>
      <w:r w:rsidRPr="00F726B3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по видам деятельности</w:t>
      </w:r>
      <w:r w:rsidRPr="00F726B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F726B3">
        <w:rPr>
          <w:rFonts w:ascii="Times New Roman" w:eastAsia="Times New Roman" w:hAnsi="Times New Roman" w:cs="Times New Roman"/>
          <w:sz w:val="24"/>
          <w:szCs w:val="26"/>
          <w:lang w:eastAsia="ru-RU"/>
        </w:rPr>
        <w:t>наибольшую долю занимали добыча сыр</w:t>
      </w:r>
      <w:r w:rsidR="00F726B3" w:rsidRPr="00F726B3">
        <w:rPr>
          <w:rFonts w:ascii="Times New Roman" w:eastAsia="Times New Roman" w:hAnsi="Times New Roman" w:cs="Times New Roman"/>
          <w:sz w:val="24"/>
          <w:szCs w:val="26"/>
          <w:lang w:eastAsia="ru-RU"/>
        </w:rPr>
        <w:t>ой нефти и природного газа (41,2</w:t>
      </w:r>
      <w:r w:rsidRPr="00F726B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%) и  добыча </w:t>
      </w:r>
      <w:r w:rsidR="00F726B3" w:rsidRPr="00F726B3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прочих полезных ископаемых (20,1</w:t>
      </w:r>
      <w:r w:rsidRPr="00F726B3">
        <w:rPr>
          <w:rFonts w:ascii="Times New Roman" w:eastAsia="Times New Roman" w:hAnsi="Times New Roman" w:cs="Times New Roman"/>
          <w:sz w:val="24"/>
          <w:szCs w:val="26"/>
          <w:lang w:eastAsia="ru-RU"/>
        </w:rPr>
        <w:t>%):</w:t>
      </w:r>
    </w:p>
    <w:p w:rsidR="00B74093" w:rsidRPr="00B74093" w:rsidRDefault="00B74093" w:rsidP="00B7409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7409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СТРУКТУРА ОБЪЕМА ОТГРУЖЕННЫХ ТОВАРОВ СОБСТВЕННОГО ПРОИЗВОДСТВА </w:t>
      </w:r>
    </w:p>
    <w:p w:rsidR="00B74093" w:rsidRPr="00B74093" w:rsidRDefault="00B74093" w:rsidP="00B7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7409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ПО ВИДАМ ЭКОНОМИЧЕСКОЙ ДЕЯТЕЛЬНОСТИ В 2019 ГОДУ</w:t>
      </w:r>
    </w:p>
    <w:p w:rsidR="00B74093" w:rsidRPr="00B74093" w:rsidRDefault="00B74093" w:rsidP="00B74093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74093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Pr="00B74093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B74093">
        <w:rPr>
          <w:rFonts w:ascii="Times New Roman" w:eastAsia="Times New Roman" w:hAnsi="Times New Roman" w:cs="Times New Roman"/>
          <w:szCs w:val="24"/>
          <w:lang w:eastAsia="ru-RU"/>
        </w:rPr>
        <w:t xml:space="preserve"> % к итогу)</w:t>
      </w:r>
    </w:p>
    <w:p w:rsidR="00B74093" w:rsidRPr="00B74093" w:rsidRDefault="00F726B3" w:rsidP="00B74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FFE645" wp14:editId="7931C712">
            <wp:extent cx="5467350" cy="3086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4093" w:rsidRPr="00B74093" w:rsidRDefault="00B74093" w:rsidP="00B74093">
      <w:pPr>
        <w:spacing w:before="240"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Дальневосточном федеральном округе по объему отгруженной продукции в промышленном производстве Республика Саха (Якутия) в 2019 году находилась на втором месте после Сахалинской области. </w:t>
      </w:r>
    </w:p>
    <w:p w:rsidR="00B74093" w:rsidRPr="00B74093" w:rsidRDefault="00B74093" w:rsidP="00B7409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7409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Индекс промышленного производства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республике за 2019 год составил </w:t>
      </w:r>
      <w:r w:rsidRPr="00B7409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111,2%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 2018 году. На тенденцию развития промышленного производства республики существенное влияние оказывает динамика производства продукции  в «Добыче полезных ископаемых»,</w:t>
      </w:r>
      <w:r w:rsidRPr="00B7409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>в большей степени за счет видов деятельности «добыча сырой нефти» и «добыча прочих полезных ископаемых, не включенных в другие группировки»</w:t>
      </w:r>
      <w:r w:rsidRPr="00B74093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footnoteReference w:id="1"/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>:</w:t>
      </w:r>
    </w:p>
    <w:p w:rsidR="00B74093" w:rsidRPr="00B74093" w:rsidRDefault="00B74093" w:rsidP="00B74093">
      <w:pPr>
        <w:spacing w:before="240" w:after="0" w:line="26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40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ДИНАМИКА ИНДЕКСА ПРОМЫШЛЕННОГО ПРОИЗВОДСТВА ЗА 2010, 2015-2019 ГОДЫ</w:t>
      </w:r>
    </w:p>
    <w:p w:rsidR="00B74093" w:rsidRPr="00B74093" w:rsidRDefault="00B74093" w:rsidP="00B7409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74093">
        <w:rPr>
          <w:rFonts w:ascii="Times New Roman" w:eastAsia="Times New Roman" w:hAnsi="Times New Roman" w:cs="Times New Roman"/>
          <w:szCs w:val="20"/>
          <w:lang w:eastAsia="ru-RU"/>
        </w:rPr>
        <w:t>(в процентах к предыдущему году)</w:t>
      </w:r>
    </w:p>
    <w:p w:rsidR="00B74093" w:rsidRPr="00B74093" w:rsidRDefault="00B74093" w:rsidP="00B74093">
      <w:pPr>
        <w:spacing w:after="0" w:line="33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40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490B36" wp14:editId="4F3FE5E4">
            <wp:extent cx="6153150" cy="20574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4093" w:rsidRPr="00B74093" w:rsidRDefault="00B74093" w:rsidP="00B7409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5"/>
          <w:lang w:eastAsia="ru-RU"/>
        </w:rPr>
      </w:pPr>
      <w:r w:rsidRPr="00B74093">
        <w:rPr>
          <w:rFonts w:ascii="Times New Roman" w:eastAsia="Calibri" w:hAnsi="Times New Roman" w:cs="Times New Roman"/>
          <w:color w:val="000000"/>
          <w:sz w:val="24"/>
          <w:szCs w:val="25"/>
          <w:lang w:eastAsia="ru-RU"/>
        </w:rPr>
        <w:lastRenderedPageBreak/>
        <w:t xml:space="preserve">В </w:t>
      </w:r>
      <w:r w:rsidRPr="00B74093">
        <w:rPr>
          <w:rFonts w:ascii="Times New Roman" w:eastAsia="Calibri" w:hAnsi="Times New Roman" w:cs="Times New Roman"/>
          <w:b/>
          <w:color w:val="000000"/>
          <w:sz w:val="24"/>
          <w:szCs w:val="25"/>
          <w:lang w:eastAsia="ru-RU"/>
        </w:rPr>
        <w:t>«Добыче полезных ископаемых»</w:t>
      </w:r>
      <w:r w:rsidRPr="00B74093">
        <w:rPr>
          <w:rFonts w:ascii="Times New Roman" w:eastAsia="Calibri" w:hAnsi="Times New Roman" w:cs="Times New Roman"/>
          <w:color w:val="000000"/>
          <w:sz w:val="24"/>
          <w:szCs w:val="25"/>
          <w:lang w:eastAsia="ru-RU"/>
        </w:rPr>
        <w:t xml:space="preserve"> индекс производства за 2019 год составил </w:t>
      </w:r>
      <w:r w:rsidRPr="00B74093">
        <w:rPr>
          <w:rFonts w:ascii="Times New Roman" w:eastAsia="Calibri" w:hAnsi="Times New Roman" w:cs="Times New Roman"/>
          <w:b/>
          <w:color w:val="000000"/>
          <w:sz w:val="24"/>
          <w:szCs w:val="25"/>
          <w:lang w:eastAsia="ru-RU"/>
        </w:rPr>
        <w:t>112,3%</w:t>
      </w:r>
      <w:r w:rsidRPr="00B74093">
        <w:rPr>
          <w:rFonts w:ascii="Times New Roman" w:eastAsia="Calibri" w:hAnsi="Times New Roman" w:cs="Times New Roman"/>
          <w:color w:val="000000"/>
          <w:sz w:val="24"/>
          <w:szCs w:val="25"/>
          <w:lang w:eastAsia="ru-RU"/>
        </w:rPr>
        <w:t xml:space="preserve"> за счет увеличения производства в «добыче угля» (106,1%), «добыче сырой нефти и природного газа» (116,9%), «добыче металлических руд» (121,3%), «добыче прочих полезных ископаемых» (101,0%) и «предоставлении услуг в области добычи полезных ископаемых» (144,1%).</w:t>
      </w:r>
    </w:p>
    <w:p w:rsidR="00B74093" w:rsidRPr="00B74093" w:rsidRDefault="00B74093" w:rsidP="00B7409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5"/>
          <w:lang w:eastAsia="ru-RU"/>
        </w:rPr>
      </w:pPr>
      <w:r w:rsidRPr="00B74093">
        <w:rPr>
          <w:rFonts w:ascii="Times New Roman" w:eastAsia="Calibri" w:hAnsi="Times New Roman" w:cs="Times New Roman"/>
          <w:color w:val="000000"/>
          <w:sz w:val="24"/>
          <w:szCs w:val="25"/>
          <w:lang w:eastAsia="ru-RU"/>
        </w:rPr>
        <w:t xml:space="preserve">В </w:t>
      </w:r>
      <w:r w:rsidRPr="00B74093">
        <w:rPr>
          <w:rFonts w:ascii="Times New Roman" w:eastAsia="Calibri" w:hAnsi="Times New Roman" w:cs="Times New Roman"/>
          <w:b/>
          <w:color w:val="000000"/>
          <w:sz w:val="24"/>
          <w:szCs w:val="25"/>
          <w:lang w:eastAsia="ru-RU"/>
        </w:rPr>
        <w:t xml:space="preserve">«Обрабатывающих производствах» </w:t>
      </w:r>
      <w:r w:rsidRPr="00B74093">
        <w:rPr>
          <w:rFonts w:ascii="Times New Roman" w:eastAsia="Calibri" w:hAnsi="Times New Roman" w:cs="Times New Roman"/>
          <w:color w:val="000000"/>
          <w:sz w:val="24"/>
          <w:szCs w:val="25"/>
          <w:lang w:eastAsia="ru-RU"/>
        </w:rPr>
        <w:t xml:space="preserve">индекс производства составил </w:t>
      </w:r>
      <w:r w:rsidRPr="00B74093">
        <w:rPr>
          <w:rFonts w:ascii="Times New Roman" w:eastAsia="Calibri" w:hAnsi="Times New Roman" w:cs="Times New Roman"/>
          <w:b/>
          <w:color w:val="000000"/>
          <w:sz w:val="24"/>
          <w:szCs w:val="25"/>
          <w:lang w:eastAsia="ru-RU"/>
        </w:rPr>
        <w:t>110,3</w:t>
      </w:r>
      <w:r w:rsidRPr="00B74093">
        <w:rPr>
          <w:rFonts w:ascii="Times New Roman" w:eastAsia="Calibri" w:hAnsi="Times New Roman" w:cs="Times New Roman"/>
          <w:color w:val="000000"/>
          <w:sz w:val="24"/>
          <w:szCs w:val="25"/>
          <w:lang w:eastAsia="ru-RU"/>
        </w:rPr>
        <w:t>%, за счет увеличения в «производстве кокса и нефтепродуктов» (114,6%) и «производстве прочей неметаллической минеральной продукции» (142,7%).</w:t>
      </w:r>
    </w:p>
    <w:p w:rsidR="00B74093" w:rsidRPr="00B74093" w:rsidRDefault="00B74093" w:rsidP="00B7409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5"/>
          <w:lang w:eastAsia="ru-RU"/>
        </w:rPr>
      </w:pPr>
      <w:r w:rsidRPr="00B74093">
        <w:rPr>
          <w:rFonts w:ascii="Times New Roman" w:eastAsia="Calibri" w:hAnsi="Times New Roman" w:cs="Times New Roman"/>
          <w:color w:val="000000"/>
          <w:sz w:val="24"/>
          <w:szCs w:val="25"/>
          <w:lang w:eastAsia="ru-RU"/>
        </w:rPr>
        <w:t xml:space="preserve">В </w:t>
      </w:r>
      <w:r w:rsidRPr="00B7409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«Обеспечении электрической энергией, газом и паром; кондиционировании воздуха» </w:t>
      </w:r>
      <w:r w:rsidRPr="00B74093">
        <w:rPr>
          <w:rFonts w:ascii="Times New Roman" w:eastAsia="Calibri" w:hAnsi="Times New Roman" w:cs="Times New Roman"/>
          <w:color w:val="000000"/>
          <w:sz w:val="24"/>
          <w:szCs w:val="25"/>
          <w:lang w:eastAsia="ru-RU"/>
        </w:rPr>
        <w:t>индекс производства составил 99,9% за счет уменьшения в «производстве и распределении газообразного топлива» (71,1%) и «производстве, передаче и распределении пара и горячей воды; кондиционировании воздуха» (99,9%).</w:t>
      </w:r>
    </w:p>
    <w:p w:rsidR="00B74093" w:rsidRPr="00B74093" w:rsidRDefault="00B74093" w:rsidP="00B7409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B74093">
        <w:rPr>
          <w:rFonts w:ascii="Times New Roman" w:eastAsia="Calibri" w:hAnsi="Times New Roman" w:cs="Times New Roman"/>
          <w:color w:val="000000"/>
          <w:sz w:val="24"/>
          <w:szCs w:val="25"/>
          <w:lang w:eastAsia="ru-RU"/>
        </w:rPr>
        <w:t xml:space="preserve">В </w:t>
      </w:r>
      <w:r w:rsidRPr="00B7409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«Водоснабжении; водоотведении, организации сбора и утилизации отходов, деятельности по ликвидации загрязнений»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B74093">
        <w:rPr>
          <w:rFonts w:ascii="Times New Roman" w:eastAsia="Calibri" w:hAnsi="Times New Roman" w:cs="Times New Roman"/>
          <w:color w:val="000000"/>
          <w:sz w:val="24"/>
          <w:szCs w:val="25"/>
          <w:lang w:eastAsia="ru-RU"/>
        </w:rPr>
        <w:t xml:space="preserve">индекс производства составил </w:t>
      </w:r>
      <w:r w:rsidRPr="00B7409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100,4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>% за счет увеличения в «сборе, обработке и утилизации отходов; обработке вторичного сырья» (366,3%).</w:t>
      </w:r>
    </w:p>
    <w:p w:rsidR="00B74093" w:rsidRPr="00B74093" w:rsidRDefault="00B74093" w:rsidP="00B74093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>Среди регионов Дальневосточного федерального округа индекс промышленного производства в 2019 году варьировал от 95,4% в Камчатском крае до 118,2% в Приморском крае.</w:t>
      </w:r>
    </w:p>
    <w:p w:rsidR="00B74093" w:rsidRPr="00B74093" w:rsidRDefault="00B74093" w:rsidP="00B7409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5"/>
          <w:lang w:eastAsia="ru-RU"/>
        </w:rPr>
      </w:pPr>
      <w:r w:rsidRPr="00B74093">
        <w:rPr>
          <w:noProof/>
          <w:lang w:eastAsia="ru-RU"/>
        </w:rPr>
        <w:drawing>
          <wp:inline distT="0" distB="0" distL="0" distR="0" wp14:anchorId="3540C3D9" wp14:editId="10A62484">
            <wp:extent cx="6152515" cy="3154045"/>
            <wp:effectExtent l="0" t="0" r="635" b="82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4093" w:rsidRPr="00B74093" w:rsidRDefault="00B74093" w:rsidP="00B74093">
      <w:pPr>
        <w:spacing w:before="360" w:after="0" w:line="288" w:lineRule="auto"/>
        <w:ind w:firstLine="709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  <w:r w:rsidRPr="00B74093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>ПРОИЗВОДСТВО ОСНОВНЫХ ВИДОВ ПРОМЫШЛЕННОЙ ПРОДУКЦИИ ЗА 2010, 2015-2019 ГГ.</w:t>
      </w:r>
    </w:p>
    <w:tbl>
      <w:tblPr>
        <w:tblW w:w="4947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282"/>
        <w:gridCol w:w="961"/>
        <w:gridCol w:w="961"/>
        <w:gridCol w:w="959"/>
        <w:gridCol w:w="961"/>
        <w:gridCol w:w="953"/>
        <w:gridCol w:w="953"/>
      </w:tblGrid>
      <w:tr w:rsidR="00B74093" w:rsidRPr="00B74093" w:rsidTr="00C239BE">
        <w:trPr>
          <w:trHeight w:val="208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093" w:rsidRPr="00B74093" w:rsidRDefault="00B74093" w:rsidP="00B74093">
            <w:pPr>
              <w:spacing w:before="48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93" w:rsidRPr="00B74093" w:rsidRDefault="00B74093" w:rsidP="00B74093">
            <w:pPr>
              <w:spacing w:before="40" w:after="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93" w:rsidRPr="00B74093" w:rsidRDefault="00B74093" w:rsidP="00B74093">
            <w:pPr>
              <w:spacing w:before="40" w:after="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93" w:rsidRPr="00B74093" w:rsidRDefault="00B74093" w:rsidP="00B74093">
            <w:pPr>
              <w:spacing w:before="40" w:after="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93" w:rsidRPr="00B74093" w:rsidRDefault="00B74093" w:rsidP="00B74093">
            <w:pPr>
              <w:spacing w:before="40" w:after="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93" w:rsidRPr="00B74093" w:rsidRDefault="00B74093" w:rsidP="00B74093">
            <w:pPr>
              <w:spacing w:before="40" w:after="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93" w:rsidRPr="00B74093" w:rsidRDefault="00B74093" w:rsidP="00B74093">
            <w:pPr>
              <w:spacing w:before="40" w:after="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B74093" w:rsidRPr="00B74093" w:rsidTr="00C239BE">
        <w:trPr>
          <w:trHeight w:val="25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093" w:rsidRPr="00B74093" w:rsidRDefault="00B74093" w:rsidP="00B74093">
            <w:pPr>
              <w:spacing w:after="0" w:line="288" w:lineRule="auto"/>
              <w:ind w:firstLineChars="5" w:firstLine="1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7409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Добыча полезных ископаемых</w:t>
            </w:r>
          </w:p>
        </w:tc>
      </w:tr>
      <w:tr w:rsidR="00B74093" w:rsidRPr="00B74093" w:rsidTr="00C239BE">
        <w:trPr>
          <w:trHeight w:val="212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74093">
              <w:rPr>
                <w:rFonts w:ascii="Times New Roman" w:hAnsi="Times New Roman" w:cs="Times New Roman"/>
                <w:szCs w:val="20"/>
              </w:rPr>
              <w:t>Уголь каменный и бурый, тыс. тонн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11094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15303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 w:firstLineChars="5" w:firstLine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17044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 w:firstLineChars="5" w:firstLine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15766</w:t>
            </w:r>
            <w:r w:rsidRPr="00B7409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 w:firstLineChars="5" w:firstLine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15806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 w:firstLineChars="5" w:firstLine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15801</w:t>
            </w:r>
          </w:p>
        </w:tc>
      </w:tr>
      <w:tr w:rsidR="00B74093" w:rsidRPr="00B74093" w:rsidTr="00C239BE">
        <w:trPr>
          <w:trHeight w:val="212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74093">
              <w:rPr>
                <w:rFonts w:ascii="Times New Roman" w:hAnsi="Times New Roman" w:cs="Times New Roman"/>
                <w:szCs w:val="20"/>
              </w:rPr>
              <w:t>Уголь каменный и бурый обогащенный, тыс. тонн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5863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7954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9174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8238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8945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10395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B74093">
              <w:rPr>
                <w:rFonts w:ascii="Times New Roman" w:hAnsi="Times New Roman" w:cs="Times New Roman"/>
                <w:szCs w:val="20"/>
              </w:rPr>
              <w:t>Нефть сырая, тыс. тонн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left="-57" w:right="-57" w:firstLineChars="14" w:firstLine="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3425,8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9450,6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10100,9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12161,1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14189,4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B74093">
              <w:rPr>
                <w:rFonts w:ascii="Times New Roman" w:hAnsi="Times New Roman" w:cs="Times New Roman"/>
                <w:szCs w:val="20"/>
              </w:rPr>
              <w:t>Газ горючий природный (газ естественный), млн. м</w:t>
            </w:r>
            <w:r w:rsidRPr="00B74093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47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left="-57" w:right="-57" w:firstLineChars="14" w:firstLine="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1906,7</w:t>
            </w:r>
          </w:p>
        </w:tc>
        <w:tc>
          <w:tcPr>
            <w:tcW w:w="47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1955,0</w:t>
            </w:r>
          </w:p>
        </w:tc>
        <w:tc>
          <w:tcPr>
            <w:tcW w:w="47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2020,6</w:t>
            </w:r>
          </w:p>
        </w:tc>
        <w:tc>
          <w:tcPr>
            <w:tcW w:w="47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2127,5</w:t>
            </w:r>
          </w:p>
        </w:tc>
        <w:tc>
          <w:tcPr>
            <w:tcW w:w="47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1971,6</w:t>
            </w:r>
          </w:p>
        </w:tc>
        <w:tc>
          <w:tcPr>
            <w:tcW w:w="47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2933,6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74093">
              <w:rPr>
                <w:rFonts w:ascii="Times New Roman" w:hAnsi="Times New Roman" w:cs="Times New Roman"/>
                <w:szCs w:val="20"/>
              </w:rPr>
              <w:t>Смеси песчано-гравийные, тыс. м</w:t>
            </w:r>
            <w:r w:rsidRPr="00B74093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left="-57" w:right="-57" w:firstLineChars="100" w:firstLine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856,0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7022,2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4323,7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5019,9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4427,7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2682,1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B74093">
              <w:rPr>
                <w:rFonts w:ascii="Times New Roman" w:hAnsi="Times New Roman" w:cs="Times New Roman"/>
                <w:szCs w:val="20"/>
              </w:rPr>
              <w:t>Пески природные, тыс. м</w:t>
            </w:r>
            <w:r w:rsidRPr="00B74093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left="-57" w:right="-57" w:firstLineChars="14" w:firstLine="2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180,3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5600,4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 w:firstLineChars="5" w:firstLine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5875,1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 w:firstLineChars="5" w:firstLine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8280,5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 w:firstLineChars="5" w:firstLine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4876,0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 w:firstLineChars="5" w:firstLine="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4323,0</w:t>
            </w:r>
          </w:p>
        </w:tc>
      </w:tr>
    </w:tbl>
    <w:p w:rsidR="00B74093" w:rsidRPr="00B74093" w:rsidRDefault="00B74093" w:rsidP="00B74093">
      <w:pPr>
        <w:spacing w:after="0"/>
        <w:jc w:val="right"/>
        <w:rPr>
          <w:rFonts w:ascii="Times New Roman" w:hAnsi="Times New Roman" w:cs="Times New Roman"/>
          <w:sz w:val="24"/>
          <w:lang w:val="en-US"/>
        </w:rPr>
      </w:pPr>
      <w:r w:rsidRPr="00B74093">
        <w:rPr>
          <w:rFonts w:ascii="Times New Roman" w:hAnsi="Times New Roman" w:cs="Times New Roman"/>
          <w:sz w:val="24"/>
          <w:lang w:val="en-US"/>
        </w:rPr>
        <w:lastRenderedPageBreak/>
        <w:t>Продолжение табл</w:t>
      </w:r>
      <w:r w:rsidR="00D64F1F">
        <w:rPr>
          <w:rFonts w:ascii="Times New Roman" w:hAnsi="Times New Roman" w:cs="Times New Roman"/>
          <w:sz w:val="24"/>
          <w:lang w:val="en-US"/>
        </w:rPr>
        <w:t>.</w:t>
      </w:r>
    </w:p>
    <w:tbl>
      <w:tblPr>
        <w:tblW w:w="4948" w:type="pct"/>
        <w:tblInd w:w="107" w:type="dxa"/>
        <w:tblLayout w:type="fixed"/>
        <w:tblLook w:val="00A0" w:firstRow="1" w:lastRow="0" w:firstColumn="1" w:lastColumn="0" w:noHBand="0" w:noVBand="0"/>
      </w:tblPr>
      <w:tblGrid>
        <w:gridCol w:w="4284"/>
        <w:gridCol w:w="961"/>
        <w:gridCol w:w="961"/>
        <w:gridCol w:w="959"/>
        <w:gridCol w:w="961"/>
        <w:gridCol w:w="953"/>
        <w:gridCol w:w="953"/>
      </w:tblGrid>
      <w:tr w:rsidR="00B74093" w:rsidRPr="00B74093" w:rsidTr="00C239BE">
        <w:trPr>
          <w:trHeight w:val="208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093" w:rsidRPr="00B74093" w:rsidRDefault="00B74093" w:rsidP="00B74093">
            <w:pPr>
              <w:spacing w:before="48"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93" w:rsidRPr="00B74093" w:rsidRDefault="00B74093" w:rsidP="00B74093">
            <w:pPr>
              <w:spacing w:before="40" w:after="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93" w:rsidRPr="00B74093" w:rsidRDefault="00B74093" w:rsidP="00B74093">
            <w:pPr>
              <w:spacing w:before="40" w:after="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93" w:rsidRPr="00B74093" w:rsidRDefault="00B74093" w:rsidP="00B74093">
            <w:pPr>
              <w:spacing w:before="40" w:after="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93" w:rsidRPr="00B74093" w:rsidRDefault="00B74093" w:rsidP="00B74093">
            <w:pPr>
              <w:spacing w:before="40" w:after="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93" w:rsidRPr="00B74093" w:rsidRDefault="00B74093" w:rsidP="00B74093">
            <w:pPr>
              <w:spacing w:before="40" w:after="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93" w:rsidRPr="00B74093" w:rsidRDefault="00B74093" w:rsidP="00B74093">
            <w:pPr>
              <w:spacing w:before="40" w:after="4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40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</w:tr>
      <w:tr w:rsidR="00B74093" w:rsidRPr="00B74093" w:rsidTr="00C239BE">
        <w:trPr>
          <w:trHeight w:val="25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before="48" w:after="0" w:line="288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B7409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Обрабатывающие производства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74093">
              <w:rPr>
                <w:rFonts w:ascii="Times New Roman" w:hAnsi="Times New Roman" w:cs="Times New Roman"/>
                <w:color w:val="000000"/>
                <w:szCs w:val="20"/>
              </w:rPr>
              <w:t>Говядина, кроме субпродуктов, тонн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571,6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264,0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585,0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423,1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74093">
              <w:rPr>
                <w:rFonts w:ascii="Times New Roman" w:hAnsi="Times New Roman" w:cs="Times New Roman"/>
                <w:color w:val="000000"/>
                <w:szCs w:val="20"/>
              </w:rPr>
              <w:t>Свинина, кроме субпродуктов, тонн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298,3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389,4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458,6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587,5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472,7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74093">
              <w:rPr>
                <w:rFonts w:ascii="Times New Roman" w:hAnsi="Times New Roman" w:cs="Times New Roman"/>
                <w:color w:val="000000"/>
                <w:szCs w:val="20"/>
              </w:rPr>
              <w:t>Мясо и субпродукты пищевые домашней птицы, тонн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3412,3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2370,5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1294,0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2370,2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2478,9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3379,0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74093">
              <w:rPr>
                <w:rFonts w:ascii="Times New Roman" w:hAnsi="Times New Roman" w:cs="Times New Roman"/>
                <w:color w:val="000000"/>
                <w:szCs w:val="20"/>
              </w:rPr>
              <w:t>Изделия колбасные, включая  изделия колбасные для детского питания, тонн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13320,9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13312,7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13054,4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10024,2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9750,3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8770,9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74093">
              <w:rPr>
                <w:rFonts w:ascii="Times New Roman" w:hAnsi="Times New Roman" w:cs="Times New Roman"/>
                <w:color w:val="000000"/>
                <w:szCs w:val="20"/>
              </w:rPr>
              <w:t>Полуфабрикаты мясные, мясосодержащие, охлажденные, замороженные, тонн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3894,0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6891,9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7922,5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3685,8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3825,6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3823,0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 w:rsidRPr="00B74093">
              <w:rPr>
                <w:rFonts w:ascii="Times New Roman" w:hAnsi="Times New Roman" w:cs="Times New Roman"/>
                <w:color w:val="000000"/>
                <w:szCs w:val="20"/>
              </w:rPr>
              <w:t>Рыба</w:t>
            </w:r>
            <w:proofErr w:type="gramEnd"/>
            <w:r w:rsidRPr="00B74093">
              <w:rPr>
                <w:rFonts w:ascii="Times New Roman" w:hAnsi="Times New Roman" w:cs="Times New Roman"/>
                <w:color w:val="000000"/>
                <w:szCs w:val="20"/>
              </w:rPr>
              <w:t xml:space="preserve"> переработанная и консервированная, ракообразные и моллюски, тонн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5591,5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5288,4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5468,2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6068,7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6562,1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6634,6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74093">
              <w:rPr>
                <w:rFonts w:ascii="Times New Roman" w:hAnsi="Times New Roman" w:cs="Times New Roman"/>
                <w:color w:val="000000"/>
                <w:szCs w:val="20"/>
              </w:rPr>
              <w:t>Молоко, кроме сырого, тонн</w:t>
            </w:r>
            <w:proofErr w:type="gramStart"/>
            <w:r w:rsidRPr="00B74093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val="en-US"/>
              </w:rPr>
              <w:t>2</w:t>
            </w:r>
            <w:proofErr w:type="gramEnd"/>
            <w:r w:rsidRPr="00B74093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)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10655,9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6442,4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6644,4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3467,7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3109,4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3649,9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74093">
              <w:rPr>
                <w:rFonts w:ascii="Times New Roman" w:hAnsi="Times New Roman" w:cs="Times New Roman"/>
                <w:color w:val="000000"/>
                <w:szCs w:val="20"/>
              </w:rPr>
              <w:t>Масло сливочное, тонн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2564,1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2031,4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2128,2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2168,5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2086,8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2118,6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 w:rsidRPr="00B74093">
              <w:rPr>
                <w:rFonts w:ascii="Times New Roman" w:hAnsi="Times New Roman" w:cs="Times New Roman"/>
                <w:color w:val="000000"/>
                <w:szCs w:val="20"/>
              </w:rPr>
              <w:t>Хлеб и хлебобулочные изделия недлительного хранения, тонн</w:t>
            </w:r>
            <w:r w:rsidRPr="00B74093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3)</w:t>
            </w:r>
            <w:proofErr w:type="gramEnd"/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45515,5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39639,2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38533,4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36737,3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34306,9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32301,2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Cs w:val="20"/>
                <w:highlight w:val="yellow"/>
              </w:rPr>
            </w:pPr>
            <w:r w:rsidRPr="00B74093">
              <w:rPr>
                <w:rFonts w:ascii="Times New Roman" w:hAnsi="Times New Roman" w:cs="Times New Roman"/>
                <w:color w:val="000000"/>
                <w:szCs w:val="20"/>
              </w:rPr>
              <w:t>Изделия макаронные и аналогичные мучные изделия, тонн</w:t>
            </w:r>
            <w:proofErr w:type="gramStart"/>
            <w:r w:rsidRPr="00B74093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4</w:t>
            </w:r>
            <w:proofErr w:type="gramEnd"/>
            <w:r w:rsidRPr="00B74093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)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1041,1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845,3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979,5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1915,7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1297,0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1241,5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74093">
              <w:rPr>
                <w:rFonts w:ascii="Times New Roman" w:hAnsi="Times New Roman" w:cs="Times New Roman"/>
                <w:color w:val="000000"/>
                <w:szCs w:val="20"/>
              </w:rPr>
              <w:t>Воды минеральные природные питьевые и воды питьевые, расфасованные в емкости, не содержащие добавки сахара или других подслащивающих или вкусоароматических веществ, тыс. полулитров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31858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52350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53609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57784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68545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widowControl w:val="0"/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72636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74093">
              <w:rPr>
                <w:rFonts w:ascii="Times New Roman" w:hAnsi="Times New Roman" w:cs="Times New Roman"/>
                <w:color w:val="000000"/>
                <w:szCs w:val="20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непропитанные, тыс. м</w:t>
            </w:r>
            <w:r w:rsidRPr="00B74093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3 5)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148,88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116,41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110,86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131,25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88,89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91,00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74093">
              <w:rPr>
                <w:rFonts w:ascii="Times New Roman" w:hAnsi="Times New Roman" w:cs="Times New Roman"/>
                <w:color w:val="000000"/>
                <w:szCs w:val="20"/>
              </w:rPr>
              <w:t>Блоки и прочие изделия сборные строительные для зданий и сооружений из цемента, бетона или искусственного камня, тыс. м</w:t>
            </w:r>
            <w:r w:rsidRPr="00B74093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50,8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74093">
              <w:rPr>
                <w:rFonts w:ascii="Times New Roman" w:hAnsi="Times New Roman" w:cs="Times New Roman"/>
                <w:color w:val="000000"/>
                <w:szCs w:val="20"/>
              </w:rPr>
              <w:t>Бетон, готовый для заливки (товарный бетон), тыс. м</w:t>
            </w:r>
            <w:r w:rsidRPr="00B74093">
              <w:rPr>
                <w:rFonts w:ascii="Times New Roman" w:hAnsi="Times New Roman" w:cs="Times New Roman"/>
                <w:color w:val="000000"/>
                <w:szCs w:val="20"/>
                <w:vertAlign w:val="superscript"/>
              </w:rPr>
              <w:t>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155,0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179,1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74093">
              <w:rPr>
                <w:rFonts w:ascii="Times New Roman" w:hAnsi="Times New Roman" w:cs="Times New Roman"/>
                <w:color w:val="000000"/>
                <w:szCs w:val="20"/>
              </w:rPr>
              <w:t>Смеси асфальтобетонные дорожные, аэродромные и асфальтобетон горячие, тонн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49543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311659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424268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320122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385903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392797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74093">
              <w:rPr>
                <w:rFonts w:ascii="Times New Roman" w:hAnsi="Times New Roman" w:cs="Times New Roman"/>
                <w:color w:val="000000"/>
                <w:szCs w:val="20"/>
              </w:rPr>
              <w:t>Мебель, тыс. рублей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97379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144276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125068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115474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124524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113724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before="20"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74093">
              <w:rPr>
                <w:rFonts w:ascii="Times New Roman" w:hAnsi="Times New Roman" w:cs="Times New Roman"/>
                <w:color w:val="000000"/>
                <w:szCs w:val="20"/>
              </w:rPr>
              <w:t>Изделия ювелирные и их части; ювелирные изделия из золота или ювелирные изделия из серебра и их части, млн. рублей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1146,6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1620,3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1261,2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093">
              <w:rPr>
                <w:rFonts w:ascii="Arial" w:hAnsi="Arial" w:cs="Arial"/>
                <w:color w:val="000000"/>
                <w:sz w:val="20"/>
                <w:szCs w:val="20"/>
              </w:rPr>
              <w:t>2037,3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2238,3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2193,9</w:t>
            </w:r>
          </w:p>
        </w:tc>
      </w:tr>
      <w:tr w:rsidR="00B74093" w:rsidRPr="00B74093" w:rsidTr="00C239BE">
        <w:trPr>
          <w:trHeight w:val="25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7409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Электроэнергия, млн. кВт</w:t>
            </w:r>
            <w:proofErr w:type="gramStart"/>
            <w:r w:rsidRPr="00B7409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</w:t>
            </w:r>
            <w:proofErr w:type="gramEnd"/>
            <w:r w:rsidRPr="00B7409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B7409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</w:t>
            </w:r>
            <w:proofErr w:type="gramEnd"/>
            <w:r w:rsidRPr="00B7409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асов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7344,9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9006,1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9326,8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9225,8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9727,2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10107,9</w:t>
            </w:r>
          </w:p>
        </w:tc>
      </w:tr>
      <w:tr w:rsidR="00B74093" w:rsidRPr="00B74093" w:rsidTr="00C239BE">
        <w:trPr>
          <w:trHeight w:val="255"/>
        </w:trPr>
        <w:tc>
          <w:tcPr>
            <w:tcW w:w="2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74093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Пар и горячая вода, тыс. Гкал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14450,2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14236,4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14447,0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14188,6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14391,5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093" w:rsidRPr="00B74093" w:rsidRDefault="00B74093" w:rsidP="00B74093">
            <w:pPr>
              <w:spacing w:after="0" w:line="240" w:lineRule="auto"/>
              <w:ind w:righ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093">
              <w:rPr>
                <w:rFonts w:ascii="Arial" w:hAnsi="Arial" w:cs="Arial"/>
                <w:sz w:val="20"/>
                <w:szCs w:val="20"/>
              </w:rPr>
              <w:t>14509,8</w:t>
            </w:r>
          </w:p>
        </w:tc>
      </w:tr>
    </w:tbl>
    <w:p w:rsidR="00B74093" w:rsidRPr="00B74093" w:rsidRDefault="00B74093" w:rsidP="00B7409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93">
        <w:rPr>
          <w:rFonts w:ascii="Times New Roman" w:eastAsia="Times New Roman" w:hAnsi="Times New Roman" w:cs="Times New Roman"/>
          <w:bCs/>
          <w:color w:val="000000"/>
          <w:sz w:val="18"/>
          <w:szCs w:val="18"/>
          <w:vertAlign w:val="superscript"/>
          <w:lang w:eastAsia="ru-RU"/>
        </w:rPr>
        <w:t>1)</w:t>
      </w:r>
      <w:r w:rsidRPr="00B7409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Данные уточнены по сравнению с ранее </w:t>
      </w:r>
      <w:proofErr w:type="gramStart"/>
      <w:r w:rsidRPr="00B7409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опубликованными</w:t>
      </w:r>
      <w:proofErr w:type="gramEnd"/>
      <w:r w:rsidRPr="00B7409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по итогам разработки за 2018 год.</w:t>
      </w:r>
    </w:p>
    <w:p w:rsidR="00B74093" w:rsidRPr="00B74093" w:rsidRDefault="00B74093" w:rsidP="00B74093">
      <w:pPr>
        <w:spacing w:before="20" w:after="0" w:line="264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74093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ru-RU"/>
        </w:rPr>
        <w:t>2)</w:t>
      </w:r>
      <w:r w:rsidRPr="00B740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740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 2017 года в составе данного вида продукции учитывались объемы молочных напитков.</w:t>
      </w:r>
    </w:p>
    <w:p w:rsidR="00B74093" w:rsidRPr="00B74093" w:rsidRDefault="00B74093" w:rsidP="00B740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B7409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3)</w:t>
      </w:r>
      <w:r w:rsidRPr="00B740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организациям, имеющим сертификат на серийное производство.</w:t>
      </w:r>
    </w:p>
    <w:p w:rsidR="00B74093" w:rsidRPr="00B74093" w:rsidRDefault="00B74093" w:rsidP="00B740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409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4)</w:t>
      </w:r>
      <w:r w:rsidRPr="00B740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2017 года по данному виду продукции включаются полуфабрикаты макаронного теста с начинкой и без начинки (пельмени, вареники, манты и т.п.).</w:t>
      </w:r>
    </w:p>
    <w:p w:rsidR="00B74093" w:rsidRPr="00B74093" w:rsidRDefault="00B74093" w:rsidP="00B740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4093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5) </w:t>
      </w:r>
      <w:r w:rsidRPr="00B74093">
        <w:rPr>
          <w:rFonts w:ascii="Times New Roman" w:eastAsia="Times New Roman" w:hAnsi="Times New Roman" w:cs="Times New Roman"/>
          <w:sz w:val="18"/>
          <w:szCs w:val="20"/>
          <w:lang w:eastAsia="ru-RU"/>
        </w:rPr>
        <w:t>Без учета объема производства физических лиц для собственных нужд.</w:t>
      </w:r>
    </w:p>
    <w:p w:rsidR="00B74093" w:rsidRPr="00B74093" w:rsidRDefault="00B74093" w:rsidP="00B74093">
      <w:pPr>
        <w:rPr>
          <w:rFonts w:ascii="Times New Roman" w:hAnsi="Times New Roman" w:cs="Times New Roman"/>
        </w:rPr>
      </w:pPr>
    </w:p>
    <w:p w:rsidR="00B74093" w:rsidRPr="00B74093" w:rsidRDefault="00B74093" w:rsidP="00B7409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В производстве основных видов продукции в 2019 году удельный вес                                 Республики Саха (Якутия) в Дальневосточном федеральном округе значителен по </w:t>
      </w:r>
      <w:r w:rsidRPr="00B7409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маслу сливочному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– 47,2%, </w:t>
      </w:r>
      <w:r w:rsidRPr="00B7409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пескам природным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– 43,4%, </w:t>
      </w:r>
      <w:r w:rsidRPr="00B7409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нефти сырой, включая газовый конденсат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– 42,1%, </w:t>
      </w:r>
      <w:r w:rsidRPr="00B7409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смесям песчано-гравийным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– 35,2%, </w:t>
      </w:r>
      <w:r w:rsidRPr="00B7409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углю каменному и бурому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– 21,4%.</w:t>
      </w:r>
    </w:p>
    <w:p w:rsidR="00B74093" w:rsidRPr="00B74093" w:rsidRDefault="00B74093" w:rsidP="00B74093">
      <w:pPr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B74093">
        <w:rPr>
          <w:rFonts w:ascii="Times New Roman" w:eastAsia="Arial Unicode MS" w:hAnsi="Times New Roman" w:cs="Times New Roman"/>
          <w:sz w:val="24"/>
          <w:szCs w:val="26"/>
          <w:lang w:eastAsia="ru-RU"/>
        </w:rPr>
        <w:t xml:space="preserve">На конец 2019 года стоимость </w:t>
      </w:r>
      <w:r w:rsidRPr="00B74093">
        <w:rPr>
          <w:rFonts w:ascii="Times New Roman" w:eastAsia="Arial Unicode MS" w:hAnsi="Times New Roman" w:cs="Times New Roman"/>
          <w:b/>
          <w:bCs/>
          <w:sz w:val="24"/>
          <w:szCs w:val="26"/>
          <w:lang w:eastAsia="ru-RU"/>
        </w:rPr>
        <w:t>основных фондов</w:t>
      </w:r>
      <w:r w:rsidRPr="00B74093">
        <w:rPr>
          <w:rFonts w:ascii="Times New Roman" w:eastAsia="Arial Unicode MS" w:hAnsi="Times New Roman" w:cs="Times New Roman"/>
          <w:sz w:val="24"/>
          <w:szCs w:val="26"/>
          <w:lang w:eastAsia="ru-RU"/>
        </w:rPr>
        <w:t xml:space="preserve"> по полной учетной стоимости организаций (без субъектов малого предпринимательства) по виду деятельности 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>«</w:t>
      </w:r>
      <w:r w:rsidRPr="00B74093">
        <w:rPr>
          <w:rFonts w:ascii="Times New Roman" w:eastAsia="Arial Unicode MS" w:hAnsi="Times New Roman" w:cs="Times New Roman"/>
          <w:sz w:val="24"/>
          <w:szCs w:val="26"/>
          <w:lang w:eastAsia="ru-RU"/>
        </w:rPr>
        <w:t xml:space="preserve">Добыча полезных ископаемых» составила 929,1 млрд. рублей, 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>«</w:t>
      </w:r>
      <w:r w:rsidRPr="00B74093">
        <w:rPr>
          <w:rFonts w:ascii="Times New Roman" w:eastAsia="Arial Unicode MS" w:hAnsi="Times New Roman" w:cs="Times New Roman"/>
          <w:sz w:val="24"/>
          <w:szCs w:val="26"/>
          <w:lang w:eastAsia="ru-RU"/>
        </w:rPr>
        <w:t>Обрабатывающие производства» – 14,0 млрд. руб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лей, 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>«</w:t>
      </w:r>
      <w:r w:rsidRPr="00B7409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Обеспечение электрической энергией, газом и паром; кондиционирование воздуха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» – 280,1 млрд. рублей, «</w:t>
      </w:r>
      <w:r w:rsidRPr="00B7409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Водоснабжение; водоотведение, организация сбора и утилизации отходов, деятельность по ликвидации загрязнений» – 9,0 млрд. рублей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74093" w:rsidRPr="00B74093" w:rsidRDefault="00B74093" w:rsidP="00B74093">
      <w:pPr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В видовой структуре основных фондов наибольший удельный вес занимали здания, сооружения, машины и оборудование. В 2019 году их доля составила:</w:t>
      </w:r>
    </w:p>
    <w:p w:rsidR="00B74093" w:rsidRPr="00B74093" w:rsidRDefault="00B74093" w:rsidP="00B74093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«Добыча полезных ископаемых»: здания – 15,7%, сооружения – 52,9%, машины и оборудование – 23,6%;</w:t>
      </w:r>
    </w:p>
    <w:p w:rsidR="00B74093" w:rsidRPr="00B74093" w:rsidRDefault="00B74093" w:rsidP="00B74093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«Обрабатывающие производства»: 43,9%, 5,1% и 39,8% соответственно;</w:t>
      </w:r>
    </w:p>
    <w:p w:rsidR="00864E3A" w:rsidRPr="00864E3A" w:rsidRDefault="00B74093" w:rsidP="00B74093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64E3A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Pr="00864E3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Обеспечение электрической энергией, газом и паром; кондиционирование воздуха</w:t>
      </w:r>
      <w:r w:rsidRPr="00864E3A">
        <w:rPr>
          <w:rFonts w:ascii="Times New Roman" w:eastAsia="Arial Unicode MS" w:hAnsi="Times New Roman" w:cs="Times New Roman"/>
          <w:sz w:val="24"/>
          <w:szCs w:val="24"/>
          <w:lang w:eastAsia="ru-RU"/>
        </w:rPr>
        <w:t>» –</w:t>
      </w:r>
      <w:r w:rsidRPr="00864E3A"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64E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16,1%, 57,1%, </w:t>
      </w:r>
      <w:r w:rsidR="00864E3A" w:rsidRPr="00864E3A">
        <w:rPr>
          <w:rFonts w:ascii="Times New Roman" w:eastAsia="Arial Unicode MS" w:hAnsi="Times New Roman" w:cs="Times New Roman"/>
          <w:sz w:val="24"/>
          <w:szCs w:val="24"/>
          <w:lang w:eastAsia="ru-RU"/>
        </w:rPr>
        <w:t>25,0</w:t>
      </w:r>
      <w:r w:rsidRPr="00864E3A">
        <w:rPr>
          <w:rFonts w:ascii="Times New Roman" w:eastAsia="Arial Unicode MS" w:hAnsi="Times New Roman" w:cs="Times New Roman"/>
          <w:sz w:val="24"/>
          <w:szCs w:val="24"/>
          <w:lang w:eastAsia="ru-RU"/>
        </w:rPr>
        <w:t>%;</w:t>
      </w:r>
      <w:r w:rsidR="00C239BE" w:rsidRPr="00864E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B74093" w:rsidRPr="00864E3A" w:rsidRDefault="00B74093" w:rsidP="00B74093">
      <w:pPr>
        <w:numPr>
          <w:ilvl w:val="0"/>
          <w:numId w:val="1"/>
        </w:numPr>
        <w:spacing w:after="0" w:line="288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64E3A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Pr="00864E3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Водоснабжение; водоотведение, организация сбора и утилизации отходов, деятельность по ликвидации загрязнений» –</w:t>
      </w:r>
      <w:r w:rsidRPr="00864E3A"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864E3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14,3</w:t>
      </w:r>
      <w:r w:rsidRPr="00864E3A">
        <w:rPr>
          <w:rFonts w:ascii="Times New Roman" w:eastAsia="Arial Unicode MS" w:hAnsi="Times New Roman" w:cs="Times New Roman"/>
          <w:sz w:val="24"/>
          <w:szCs w:val="24"/>
          <w:lang w:eastAsia="ru-RU"/>
        </w:rPr>
        <w:t>%, 67,3%, 15,4%.</w:t>
      </w:r>
    </w:p>
    <w:p w:rsidR="00B74093" w:rsidRPr="00B74093" w:rsidRDefault="00B74093" w:rsidP="00B74093">
      <w:pPr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2019 году высокая степень </w:t>
      </w:r>
      <w:r w:rsidRPr="00B7409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износа основных фондов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наблюдалась в добыче полезных ископаемых (49,2%), </w:t>
      </w:r>
      <w:r w:rsidRPr="00B7409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обеспечении электрической энергией, газом и паром; кондиционировании воздуха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(39,9%) и обрабатывающих производствах (32,5%).</w:t>
      </w:r>
    </w:p>
    <w:p w:rsidR="00B74093" w:rsidRPr="00B74093" w:rsidRDefault="00B74093" w:rsidP="00B74093">
      <w:pPr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B74093">
        <w:rPr>
          <w:rFonts w:ascii="Times New Roman" w:eastAsia="Arial Unicode MS" w:hAnsi="Times New Roman" w:cs="Times New Roman"/>
          <w:sz w:val="24"/>
          <w:szCs w:val="26"/>
          <w:lang w:eastAsia="ru-RU"/>
        </w:rPr>
        <w:t xml:space="preserve">За 2019 год в предприятия (без субъектов малого предпринимательства), осуществляющие деятельность в промышленном производстве, было направлено </w:t>
      </w:r>
      <w:r w:rsidRPr="00B74093"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  <w:t>инвестиций в основной капитал</w:t>
      </w:r>
      <w:r w:rsidRPr="00B74093">
        <w:rPr>
          <w:rFonts w:ascii="Times New Roman" w:eastAsia="Arial Unicode MS" w:hAnsi="Times New Roman" w:cs="Times New Roman"/>
          <w:sz w:val="24"/>
          <w:szCs w:val="26"/>
          <w:lang w:eastAsia="ru-RU"/>
        </w:rPr>
        <w:t xml:space="preserve"> за счет всех источников финансирования на сумму </w:t>
      </w:r>
      <w:r w:rsidRPr="00B74093"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  <w:t>251,8 млрд. рублей</w:t>
      </w:r>
      <w:r w:rsidRPr="00B74093">
        <w:rPr>
          <w:rFonts w:ascii="Times New Roman" w:eastAsia="Arial Unicode MS" w:hAnsi="Times New Roman" w:cs="Times New Roman"/>
          <w:color w:val="FF0000"/>
          <w:sz w:val="24"/>
          <w:szCs w:val="26"/>
          <w:lang w:eastAsia="ru-RU"/>
        </w:rPr>
        <w:t xml:space="preserve"> </w:t>
      </w:r>
      <w:r w:rsidRPr="00B74093">
        <w:rPr>
          <w:rFonts w:ascii="Times New Roman" w:eastAsia="Arial Unicode MS" w:hAnsi="Times New Roman" w:cs="Times New Roman"/>
          <w:sz w:val="24"/>
          <w:szCs w:val="26"/>
          <w:lang w:eastAsia="ru-RU"/>
        </w:rPr>
        <w:t>(или</w:t>
      </w:r>
      <w:r w:rsidRPr="00B74093">
        <w:rPr>
          <w:rFonts w:ascii="Times New Roman" w:eastAsia="Arial Unicode MS" w:hAnsi="Times New Roman" w:cs="Times New Roman"/>
          <w:color w:val="FF0000"/>
          <w:sz w:val="24"/>
          <w:szCs w:val="26"/>
          <w:lang w:eastAsia="ru-RU"/>
        </w:rPr>
        <w:t xml:space="preserve"> </w:t>
      </w:r>
      <w:r w:rsidRPr="00B74093">
        <w:rPr>
          <w:rFonts w:ascii="Times New Roman" w:eastAsia="Arial Unicode MS" w:hAnsi="Times New Roman" w:cs="Times New Roman"/>
          <w:sz w:val="24"/>
          <w:szCs w:val="26"/>
          <w:lang w:eastAsia="ru-RU"/>
        </w:rPr>
        <w:t>63,7%</w:t>
      </w:r>
      <w:r w:rsidRPr="00B74093">
        <w:rPr>
          <w:rFonts w:ascii="Times New Roman" w:eastAsia="Arial Unicode MS" w:hAnsi="Times New Roman" w:cs="Times New Roman"/>
          <w:color w:val="FF0000"/>
          <w:sz w:val="24"/>
          <w:szCs w:val="26"/>
          <w:lang w:eastAsia="ru-RU"/>
        </w:rPr>
        <w:t xml:space="preserve"> </w:t>
      </w:r>
      <w:r w:rsidRPr="00B74093">
        <w:rPr>
          <w:rFonts w:ascii="Times New Roman" w:eastAsia="Arial Unicode MS" w:hAnsi="Times New Roman" w:cs="Times New Roman"/>
          <w:sz w:val="24"/>
          <w:szCs w:val="26"/>
          <w:lang w:eastAsia="ru-RU"/>
        </w:rPr>
        <w:t xml:space="preserve">от общего объема инвестиций), из них 93,0% в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«Добычу полезных ископаемых»</w:t>
      </w:r>
      <w:r w:rsidRPr="00B74093">
        <w:rPr>
          <w:rFonts w:ascii="Times New Roman" w:eastAsia="Arial Unicode MS" w:hAnsi="Times New Roman" w:cs="Times New Roman"/>
          <w:sz w:val="24"/>
          <w:szCs w:val="26"/>
          <w:lang w:eastAsia="ru-RU"/>
        </w:rPr>
        <w:t>,</w:t>
      </w:r>
      <w:r w:rsidRPr="00B74093">
        <w:rPr>
          <w:rFonts w:ascii="Times New Roman" w:eastAsia="Arial Unicode MS" w:hAnsi="Times New Roman" w:cs="Times New Roman"/>
          <w:color w:val="FF0000"/>
          <w:sz w:val="24"/>
          <w:szCs w:val="26"/>
          <w:lang w:eastAsia="ru-RU"/>
        </w:rPr>
        <w:t xml:space="preserve"> </w:t>
      </w:r>
      <w:r w:rsidRPr="00B74093">
        <w:rPr>
          <w:rFonts w:ascii="Times New Roman" w:eastAsia="Arial Unicode MS" w:hAnsi="Times New Roman" w:cs="Times New Roman"/>
          <w:sz w:val="24"/>
          <w:szCs w:val="26"/>
          <w:lang w:eastAsia="ru-RU"/>
        </w:rPr>
        <w:t xml:space="preserve">0,8% - в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«Обрабатывающие производства»</w:t>
      </w:r>
      <w:r w:rsidRPr="00B74093">
        <w:rPr>
          <w:rFonts w:ascii="Times New Roman" w:eastAsia="Arial Unicode MS" w:hAnsi="Times New Roman" w:cs="Times New Roman"/>
          <w:sz w:val="24"/>
          <w:szCs w:val="20"/>
          <w:lang w:eastAsia="ru-RU"/>
        </w:rPr>
        <w:t>,</w:t>
      </w:r>
      <w:r w:rsidRPr="00B74093">
        <w:rPr>
          <w:rFonts w:ascii="Times New Roman" w:eastAsia="Arial Unicode MS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B74093">
        <w:rPr>
          <w:rFonts w:ascii="Times New Roman" w:eastAsia="Arial Unicode MS" w:hAnsi="Times New Roman" w:cs="Times New Roman"/>
          <w:sz w:val="24"/>
          <w:szCs w:val="20"/>
          <w:lang w:eastAsia="ru-RU"/>
        </w:rPr>
        <w:t xml:space="preserve">6,1% - в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Pr="00B7409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Обеспечение электрической энергией, газом и паром;</w:t>
      </w:r>
      <w:proofErr w:type="gramEnd"/>
      <w:r w:rsidRPr="00B7409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кондиционирование воздуха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B74093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, 0,2% - в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Pr="00B7409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Водоснабжение; водоотведение, организация сбора и утилизации отходов, деятельность по ликвидации загрязнений».</w:t>
      </w:r>
    </w:p>
    <w:p w:rsidR="00B74093" w:rsidRPr="00B74093" w:rsidRDefault="00B74093" w:rsidP="00B74093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2019 году основным источником финансирования инвестиций в основной капитал в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«Добыче полезных ископаемых» 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>являлись привлеченные средства (63,2%),</w:t>
      </w:r>
      <w:r w:rsidRPr="00B74093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«Обрабатывающих производствах»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Pr="00B7409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Обеспечении электрической энергией, газом и паром; кондиционировании воздуха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B74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Pr="00B7409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Водоснабжении; водоотведении, организации сбора и утилизации отходов, деятельности по ликвидации загрязнений»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– собственные средства (92,1%, </w:t>
      </w:r>
      <w:r w:rsidRPr="00B74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62,7% и 77,8% соответственно).</w:t>
      </w:r>
    </w:p>
    <w:p w:rsidR="00B74093" w:rsidRPr="00B74093" w:rsidRDefault="00B74093" w:rsidP="00B7409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2019 году </w:t>
      </w:r>
      <w:r w:rsidRPr="00B7409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среднегодовая численность работников 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организаций, занятых в сфере промышленности, составляла </w:t>
      </w:r>
      <w:r w:rsidRPr="00B7409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85573 человека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в том числе в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«Добыче полезных ископаемых» 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- 46589 человек,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«Обрабатывающих производствах» 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– 10352 человека,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Pr="00B7409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Обеспечении электрической энергией, газом и паром; кондиционировании воздуха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B74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- 25016 человек,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Pr="00B7409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Водоснабжении; водоотведении, организации сбора и утилизации отходов, деятельности по ликвидации загрязнений»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B74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- 3616 человек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proofErr w:type="gramEnd"/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B7409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Среднемесячная номинальная начисленная заработная плата 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работников в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«Добыче полезных ископаемых» 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>составляла</w:t>
      </w:r>
      <w:r w:rsidRPr="00B74093">
        <w:rPr>
          <w:rFonts w:ascii="Times New Roman" w:eastAsia="Times New Roman" w:hAnsi="Times New Roman" w:cs="Times New Roman"/>
          <w:color w:val="FF0000"/>
          <w:sz w:val="24"/>
          <w:szCs w:val="26"/>
          <w:lang w:eastAsia="ru-RU"/>
        </w:rPr>
        <w:t xml:space="preserve"> 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118144,1 рубля (161,0% к среднереспубликанскому уровню),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«Обрабатывающих производствах» 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– 53946,8 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рубля (73,5%),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Pr="00B7409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Обеспечении электрической энергией, газом и паром; кондиционировании воздуха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64758,3 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рубля (88,2%),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Pr="00B7409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Водоснабжении; водоотведении, организации сбора и утилизации отходов, деятельности по ликвидации загрязнений» </w:t>
      </w:r>
      <w:r w:rsidRPr="00B74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55291,9 рубля </w:t>
      </w:r>
      <w:r w:rsidRPr="00B74093">
        <w:rPr>
          <w:rFonts w:ascii="Times New Roman" w:eastAsia="Times New Roman" w:hAnsi="Times New Roman" w:cs="Times New Roman"/>
          <w:sz w:val="24"/>
          <w:szCs w:val="26"/>
          <w:lang w:eastAsia="ru-RU"/>
        </w:rPr>
        <w:t>(75,3%).</w:t>
      </w:r>
    </w:p>
    <w:p w:rsidR="00B74093" w:rsidRPr="00B74093" w:rsidRDefault="00B74093" w:rsidP="00B7409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в сфере промышленности был получен положительный </w:t>
      </w:r>
      <w:r w:rsidRPr="00B7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сальдированный финансовый результат</w:t>
      </w: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(прибыль минус убыток) за счет итогов деятельности предприятий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добывающих производств</w:t>
      </w: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«Добыче полезных ископаемых» </w:t>
      </w: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сальдированная прибыль составляла 212,5 млрд. рублей, при этом все виды добывающих производств по итогам года получили прибыль. В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«Обрабатывающих производствах» была получена </w:t>
      </w: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сальдированная прибыль в размере 584 млн. рублей  за счет итогов деятельности предприятий «производства ювелирных изделий и аналогичных изделий</w:t>
      </w:r>
      <w:r w:rsidRPr="00B7409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», </w:t>
      </w: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409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производства химических веществ и химических продуктов», </w:t>
      </w: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409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ремонта и монтажа машин и оборудования» и </w:t>
      </w: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7409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производства пищевых продуктов».</w:t>
      </w:r>
      <w:r w:rsidRPr="00B74093">
        <w:rPr>
          <w:rFonts w:ascii="Times New Roman" w:hAnsi="Times New Roman" w:cs="Times New Roman"/>
          <w:sz w:val="24"/>
          <w:szCs w:val="24"/>
        </w:rPr>
        <w:t xml:space="preserve"> В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Pr="00B7409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Водоснабжении; водоотведении, организации сбора и утилизации отходов, деятельности по ликвидации загрязнений»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была получена </w:t>
      </w: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сальдированная прибыль в размере 234 млн. рублей, в 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Pr="00B7409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Обеспечении электрической энергией, газом и паром; кондиционировании воздуха</w:t>
      </w:r>
      <w:r w:rsidRPr="00B740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</w:t>
      </w:r>
      <w:r w:rsidRPr="00B74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 получен </w:t>
      </w: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отрицательный</w:t>
      </w:r>
      <w:r w:rsidRPr="00B74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сальдированный финансовый результат </w:t>
      </w:r>
      <w:r w:rsidRPr="00B740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1,3 млрд. рублей.</w:t>
      </w:r>
    </w:p>
    <w:p w:rsidR="00B74093" w:rsidRPr="00B74093" w:rsidRDefault="00B74093" w:rsidP="00B7409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6"/>
          <w:lang w:eastAsia="ru-RU"/>
        </w:rPr>
      </w:pPr>
      <w:proofErr w:type="gramStart"/>
      <w:r w:rsidRPr="00B7409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На конец</w:t>
      </w:r>
      <w:proofErr w:type="gramEnd"/>
      <w:r w:rsidRPr="00B7409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2019 года</w:t>
      </w:r>
      <w:r w:rsidRPr="00B7409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суммарная задолженность по обязательствам </w:t>
      </w:r>
      <w:r w:rsidRPr="00B7409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организаций промышленности составляла </w:t>
      </w:r>
      <w:r w:rsidRPr="00B74093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570,7 млрд. рублей</w:t>
      </w:r>
      <w:r w:rsidRPr="00B7409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из них кредиторская задолженность -  105,0 млрд. рублей, задолженность по кредитам банков и полученным займам – 465,7 млрд. рублей. Дебиторская задолженность составляла 139,1 млрд. рублей.</w:t>
      </w: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74093" w:rsidRP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740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Саха(Якутия)</w:t>
      </w:r>
      <w:proofErr w:type="spellStart"/>
      <w:r w:rsidRPr="00B740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стат</w:t>
      </w:r>
      <w:proofErr w:type="spellEnd"/>
      <w:r w:rsidRPr="00B740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B740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B740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.Я</w:t>
      </w:r>
      <w:proofErr w:type="gramEnd"/>
      <w:r w:rsidRPr="00B740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кутск</w:t>
      </w:r>
      <w:proofErr w:type="spellEnd"/>
      <w:r w:rsidRPr="00B740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B740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ул. Орджоникидзе, 27</w:t>
      </w:r>
    </w:p>
    <w:p w:rsidR="00B74093" w:rsidRP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0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Отдел статистики предприятий, </w:t>
      </w:r>
    </w:p>
    <w:p w:rsidR="00B74093" w:rsidRP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0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ведения статистического регистра</w:t>
      </w:r>
    </w:p>
    <w:p w:rsidR="00B74093" w:rsidRPr="00B74093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40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 общероссийских классификаторов</w:t>
      </w:r>
    </w:p>
    <w:p w:rsidR="00B74093" w:rsidRPr="00631CAB" w:rsidRDefault="00B74093" w:rsidP="00B740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  <w:r w:rsidRPr="00B740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Тел</w:t>
      </w:r>
      <w:r w:rsidRPr="00631CA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. 42-47-77 </w:t>
      </w:r>
    </w:p>
    <w:p w:rsidR="00B74093" w:rsidRPr="00631CAB" w:rsidRDefault="00B74093" w:rsidP="00B740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631CA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email</w:t>
      </w:r>
      <w:proofErr w:type="gramEnd"/>
      <w:r w:rsidRPr="00631CA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 xml:space="preserve">: </w:t>
      </w:r>
      <w:r w:rsidRPr="00B740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sakha</w:t>
      </w:r>
      <w:r w:rsidRPr="00631CA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.04@</w:t>
      </w:r>
      <w:r w:rsidRPr="00B7409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gks</w:t>
      </w:r>
      <w:r w:rsidRPr="00631CA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>.ru</w:t>
      </w:r>
    </w:p>
    <w:p w:rsidR="00BB6248" w:rsidRPr="00631CAB" w:rsidRDefault="00BB6248">
      <w:pPr>
        <w:rPr>
          <w:lang w:val="en-US"/>
        </w:rPr>
      </w:pPr>
    </w:p>
    <w:sectPr w:rsidR="00BB6248" w:rsidRPr="00631CAB" w:rsidSect="00B74093">
      <w:headerReference w:type="default" r:id="rId12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F0" w:rsidRDefault="00EA28F0" w:rsidP="00B74093">
      <w:pPr>
        <w:spacing w:after="0" w:line="240" w:lineRule="auto"/>
      </w:pPr>
      <w:r>
        <w:separator/>
      </w:r>
    </w:p>
  </w:endnote>
  <w:endnote w:type="continuationSeparator" w:id="0">
    <w:p w:rsidR="00EA28F0" w:rsidRDefault="00EA28F0" w:rsidP="00B7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F0" w:rsidRDefault="00EA28F0" w:rsidP="00B74093">
      <w:pPr>
        <w:spacing w:after="0" w:line="240" w:lineRule="auto"/>
      </w:pPr>
      <w:r>
        <w:separator/>
      </w:r>
    </w:p>
  </w:footnote>
  <w:footnote w:type="continuationSeparator" w:id="0">
    <w:p w:rsidR="00EA28F0" w:rsidRDefault="00EA28F0" w:rsidP="00B74093">
      <w:pPr>
        <w:spacing w:after="0" w:line="240" w:lineRule="auto"/>
      </w:pPr>
      <w:r>
        <w:continuationSeparator/>
      </w:r>
    </w:p>
  </w:footnote>
  <w:footnote w:id="1">
    <w:p w:rsidR="00EA28F0" w:rsidRPr="0000028F" w:rsidRDefault="00EA28F0" w:rsidP="00B74093">
      <w:pPr>
        <w:pStyle w:val="a7"/>
        <w:rPr>
          <w:sz w:val="18"/>
        </w:rPr>
      </w:pPr>
      <w:r w:rsidRPr="0000028F">
        <w:rPr>
          <w:rStyle w:val="a9"/>
          <w:sz w:val="18"/>
        </w:rPr>
        <w:footnoteRef/>
      </w:r>
      <w:r w:rsidRPr="0000028F">
        <w:rPr>
          <w:sz w:val="18"/>
        </w:rPr>
        <w:t xml:space="preserve"> Данный вид деятельности представлен видом деятельности </w:t>
      </w:r>
      <w:r>
        <w:rPr>
          <w:sz w:val="18"/>
        </w:rPr>
        <w:t>«</w:t>
      </w:r>
      <w:r w:rsidRPr="0000028F">
        <w:rPr>
          <w:sz w:val="18"/>
        </w:rPr>
        <w:t>добыча алмазов</w:t>
      </w:r>
      <w:r>
        <w:rPr>
          <w:sz w:val="18"/>
        </w:rPr>
        <w:t>»</w:t>
      </w:r>
      <w:r w:rsidRPr="0000028F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975638"/>
      <w:docPartObj>
        <w:docPartGallery w:val="Page Numbers (Top of Page)"/>
        <w:docPartUnique/>
      </w:docPartObj>
    </w:sdtPr>
    <w:sdtEndPr/>
    <w:sdtContent>
      <w:p w:rsidR="00EA28F0" w:rsidRDefault="00EA2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E3A">
          <w:rPr>
            <w:noProof/>
          </w:rPr>
          <w:t>5</w:t>
        </w:r>
        <w:r>
          <w:fldChar w:fldCharType="end"/>
        </w:r>
      </w:p>
    </w:sdtContent>
  </w:sdt>
  <w:p w:rsidR="00EA28F0" w:rsidRDefault="00EA28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456"/>
    <w:multiLevelType w:val="hybridMultilevel"/>
    <w:tmpl w:val="2E4EAD0C"/>
    <w:lvl w:ilvl="0" w:tplc="3D38EF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93"/>
    <w:rsid w:val="0026378C"/>
    <w:rsid w:val="003532F2"/>
    <w:rsid w:val="00631CAB"/>
    <w:rsid w:val="007238D7"/>
    <w:rsid w:val="00864E3A"/>
    <w:rsid w:val="00B74093"/>
    <w:rsid w:val="00BB6248"/>
    <w:rsid w:val="00C239BE"/>
    <w:rsid w:val="00D64F1F"/>
    <w:rsid w:val="00EA28F0"/>
    <w:rsid w:val="00F7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093"/>
  </w:style>
  <w:style w:type="paragraph" w:styleId="a5">
    <w:name w:val="footer"/>
    <w:basedOn w:val="a"/>
    <w:link w:val="a6"/>
    <w:uiPriority w:val="99"/>
    <w:unhideWhenUsed/>
    <w:rsid w:val="00B7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093"/>
  </w:style>
  <w:style w:type="paragraph" w:styleId="a7">
    <w:name w:val="footnote text"/>
    <w:basedOn w:val="a"/>
    <w:link w:val="a8"/>
    <w:uiPriority w:val="99"/>
    <w:semiHidden/>
    <w:unhideWhenUsed/>
    <w:rsid w:val="00B74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74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B7409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7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4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093"/>
  </w:style>
  <w:style w:type="paragraph" w:styleId="a5">
    <w:name w:val="footer"/>
    <w:basedOn w:val="a"/>
    <w:link w:val="a6"/>
    <w:uiPriority w:val="99"/>
    <w:unhideWhenUsed/>
    <w:rsid w:val="00B7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093"/>
  </w:style>
  <w:style w:type="paragraph" w:styleId="a7">
    <w:name w:val="footnote text"/>
    <w:basedOn w:val="a"/>
    <w:link w:val="a8"/>
    <w:uiPriority w:val="99"/>
    <w:semiHidden/>
    <w:unhideWhenUsed/>
    <w:rsid w:val="00B74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74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B7409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7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4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at-ibm-02\users\prom\&#1057;&#1055;&#1048;&#1057;&#1054;\&#1055;&#1059;&#1041;&#1051;&#1048;&#1050;&#1040;&#1062;&#1048;&#1048;%20&#1054;&#1058;&#1044;&#1045;&#1051;&#1040;\&#1075;&#1086;&#1076;&#1086;&#1074;&#1099;&#1077;\&#1057;&#1041;&#1054;&#1056;&#1053;&#1048;&#1050;%20&#1055;&#1056;&#1054;&#1052;\&#1057;&#1041;&#1054;&#1056;&#1053;&#1048;&#1050;%20&#1055;&#1056;&#1054;&#1052;&#1067;&#1064;&#1051;&#1045;&#1053;&#1053;&#1054;&#1057;&#1058;&#1068;%202020\&#1075;&#1088;&#1072;&#1092;&#1080;&#1082;&#1080;\&#1086;&#1073;&#1079;&#1086;&#1088;_&#1075;&#1088;&#1072;&#1092;&#1080;&#1082;&#1080;.xls" TargetMode="External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at-ibm-02\users\prom\&#1057;&#1055;&#1048;&#1057;&#1054;\&#1055;&#1059;&#1041;&#1051;&#1048;&#1050;&#1040;&#1062;&#1048;&#1048;%20&#1054;&#1058;&#1044;&#1045;&#1051;&#1040;\&#1075;&#1086;&#1076;&#1086;&#1074;&#1099;&#1077;\&#1057;&#1041;&#1054;&#1056;&#1053;&#1048;&#1050;%20&#1055;&#1056;&#1054;&#1052;\&#1057;&#1041;&#1054;&#1056;&#1053;&#1048;&#1050;%20&#1055;&#1056;&#1054;&#1052;&#1067;&#1064;&#1051;&#1045;&#1053;&#1053;&#1054;&#1057;&#1058;&#1068;%202020\&#1075;&#1088;&#1072;&#1092;&#1080;&#1082;&#1080;\&#1086;&#1073;&#1079;&#1086;&#1088;_&#1075;&#1088;&#1072;&#1092;&#1080;&#1082;&#1080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ocuments\&#1056;&#1040;&#1041;&#1054;&#1058;&#1040;%20&#1059;&#1044;&#1040;&#1051;&#1045;&#1053;&#1050;&#1040;\&#1089;&#1073;&#1086;&#1088;&#1085;&#1080;&#1082;%20&#1087;&#1088;&#1086;&#1084;\&#1057;&#1041;&#1054;&#1056;&#1053;&#1048;&#1050;%20&#1055;&#1056;&#1054;&#1052;&#1067;&#1064;&#1051;&#1045;&#1053;&#1053;&#1054;&#1057;&#1058;&#1068;%202020\&#1075;&#1088;&#1072;&#1092;&#1080;&#1082;&#1080;\&#1086;&#1073;&#1079;&#1086;&#1088;_&#1075;&#1088;&#1072;&#1092;&#1080;&#1082;&#1080;.xls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stat-ibm-02\disky\public\&#1057;&#1055;&#1048;&#1057;&#1054;\&#1048;&#1055;&#1055;\&#1048;&#1060;&#1054;%202019\&#1057;&#1054;%202019\&#1090;&#1072;&#1073;&#1083;3\t_ifogp.xls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456962110506218E-2"/>
          <c:y val="2.7667984189724135E-2"/>
          <c:w val="0.89153021737668003"/>
          <c:h val="0.6039758599254133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отгрузка!$H$2</c:f>
              <c:strCache>
                <c:ptCount val="1"/>
                <c:pt idx="0">
                  <c:v>государственная собственность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 w="1173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отгрузка!$J$1:$N$1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отгрузка!$J$2:$N$2</c:f>
              <c:numCache>
                <c:formatCode>0.0</c:formatCode>
                <c:ptCount val="5"/>
                <c:pt idx="0">
                  <c:v>1.5577241929308185</c:v>
                </c:pt>
                <c:pt idx="1">
                  <c:v>1.362589803514942</c:v>
                </c:pt>
                <c:pt idx="2">
                  <c:v>1.8150498534685315</c:v>
                </c:pt>
                <c:pt idx="3">
                  <c:v>1.2621605813630632</c:v>
                </c:pt>
                <c:pt idx="4">
                  <c:v>1.210090743464967</c:v>
                </c:pt>
              </c:numCache>
            </c:numRef>
          </c:val>
        </c:ser>
        <c:ser>
          <c:idx val="1"/>
          <c:order val="1"/>
          <c:tx>
            <c:strRef>
              <c:f>отгрузка!$H$3</c:f>
              <c:strCache>
                <c:ptCount val="1"/>
                <c:pt idx="0">
                  <c:v>муниципальная собственность</c:v>
                </c:pt>
              </c:strCache>
            </c:strRef>
          </c:tx>
          <c:spPr>
            <a:solidFill>
              <a:srgbClr val="993366"/>
            </a:solidFill>
            <a:ln w="1173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отгрузка!$J$1:$N$1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отгрузка!$J$3:$N$3</c:f>
              <c:numCache>
                <c:formatCode>0.0</c:formatCode>
                <c:ptCount val="5"/>
                <c:pt idx="0">
                  <c:v>0.37096997656276365</c:v>
                </c:pt>
                <c:pt idx="1">
                  <c:v>0.30709924037638558</c:v>
                </c:pt>
                <c:pt idx="2">
                  <c:v>0.40249775070614535</c:v>
                </c:pt>
                <c:pt idx="3">
                  <c:v>0.27897046967187766</c:v>
                </c:pt>
                <c:pt idx="4">
                  <c:v>0.2286438645817106</c:v>
                </c:pt>
              </c:numCache>
            </c:numRef>
          </c:val>
        </c:ser>
        <c:ser>
          <c:idx val="3"/>
          <c:order val="2"/>
          <c:tx>
            <c:strRef>
              <c:f>отгрузка!$H$5</c:f>
              <c:strCache>
                <c:ptCount val="1"/>
                <c:pt idx="0">
                  <c:v>частная собственность</c:v>
                </c:pt>
              </c:strCache>
            </c:strRef>
          </c:tx>
          <c:spPr>
            <a:solidFill>
              <a:srgbClr val="FFFF99"/>
            </a:solidFill>
            <a:ln w="117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55,6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52,8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57,2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56,1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61,6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отгрузка!$J$1:$N$1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отгрузка!$J$5:$N$5</c:f>
              <c:numCache>
                <c:formatCode>0.0</c:formatCode>
                <c:ptCount val="5"/>
                <c:pt idx="0">
                  <c:v>55.589113267574255</c:v>
                </c:pt>
                <c:pt idx="1">
                  <c:v>52.814159560717975</c:v>
                </c:pt>
                <c:pt idx="2">
                  <c:v>57.220341402925058</c:v>
                </c:pt>
                <c:pt idx="3">
                  <c:v>56.133876898418158</c:v>
                </c:pt>
                <c:pt idx="4">
                  <c:v>61.589034607480883</c:v>
                </c:pt>
              </c:numCache>
            </c:numRef>
          </c:val>
        </c:ser>
        <c:ser>
          <c:idx val="4"/>
          <c:order val="3"/>
          <c:tx>
            <c:strRef>
              <c:f>отгрузка!$H$6</c:f>
              <c:strCache>
                <c:ptCount val="1"/>
                <c:pt idx="0">
                  <c:v>смешанная российская собственность</c:v>
                </c:pt>
              </c:strCache>
            </c:strRef>
          </c:tx>
          <c:spPr>
            <a:pattFill prst="wdUpDiag">
              <a:fgClr>
                <a:srgbClr val="660066"/>
              </a:fgClr>
              <a:bgClr>
                <a:srgbClr val="FFFFFF"/>
              </a:bgClr>
            </a:pattFill>
            <a:ln w="117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  <a:r>
                      <a:rPr lang="ru-RU"/>
                      <a:t>,2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  <a:r>
                      <a:rPr lang="ru-RU"/>
                      <a:t>,9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33,6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28,6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19,6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rgbClr val="000000"/>
                </a:solidFill>
              </a:ln>
            </c:spPr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отгрузка!$J$1:$N$1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отгрузка!$J$6:$N$6</c:f>
              <c:numCache>
                <c:formatCode>0.0</c:formatCode>
                <c:ptCount val="5"/>
                <c:pt idx="0">
                  <c:v>36.202493766286764</c:v>
                </c:pt>
                <c:pt idx="1">
                  <c:v>36.862229246803743</c:v>
                </c:pt>
                <c:pt idx="2">
                  <c:v>33.576582550354829</c:v>
                </c:pt>
                <c:pt idx="3">
                  <c:v>28.61868856705383</c:v>
                </c:pt>
                <c:pt idx="4">
                  <c:v>19.569522764231451</c:v>
                </c:pt>
              </c:numCache>
            </c:numRef>
          </c:val>
        </c:ser>
        <c:ser>
          <c:idx val="6"/>
          <c:order val="4"/>
          <c:tx>
            <c:strRef>
              <c:f>отгрузка!$H$8</c:f>
              <c:strCache>
                <c:ptCount val="1"/>
                <c:pt idx="0">
                  <c:v>иностранная собственность</c:v>
                </c:pt>
              </c:strCache>
            </c:strRef>
          </c:tx>
          <c:spPr>
            <a:solidFill>
              <a:srgbClr val="0066CC"/>
            </a:solidFill>
            <a:ln w="117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751571751205517E-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3,4</a:t>
                    </a:r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5,2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2,8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2,8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3,9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отгрузка!$J$1:$N$1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отгрузка!$J$8:$N$8</c:f>
              <c:numCache>
                <c:formatCode>0.0</c:formatCode>
                <c:ptCount val="5"/>
                <c:pt idx="0">
                  <c:v>3.4023988527140685</c:v>
                </c:pt>
                <c:pt idx="1">
                  <c:v>5.2405044130420038</c:v>
                </c:pt>
                <c:pt idx="2">
                  <c:v>2.7927265147965232</c:v>
                </c:pt>
                <c:pt idx="3">
                  <c:v>2.7801719273309318</c:v>
                </c:pt>
                <c:pt idx="4">
                  <c:v>3.8968826968813959</c:v>
                </c:pt>
              </c:numCache>
            </c:numRef>
          </c:val>
        </c:ser>
        <c:ser>
          <c:idx val="7"/>
          <c:order val="5"/>
          <c:tx>
            <c:strRef>
              <c:f>отгрузка!$H$9</c:f>
              <c:strCache>
                <c:ptCount val="1"/>
                <c:pt idx="0">
                  <c:v>совместная российская и иностранная собственность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 w="117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,5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отгрузка!$J$1:$N$1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отгрузка!$J$9:$N$9</c:f>
              <c:numCache>
                <c:formatCode>0.0</c:formatCode>
                <c:ptCount val="5"/>
                <c:pt idx="0">
                  <c:v>2.8639062935177773</c:v>
                </c:pt>
                <c:pt idx="1">
                  <c:v>3.4046990650075459</c:v>
                </c:pt>
                <c:pt idx="2">
                  <c:v>4.1900672560706074</c:v>
                </c:pt>
                <c:pt idx="3">
                  <c:v>10.923611398737773</c:v>
                </c:pt>
                <c:pt idx="4">
                  <c:v>13.50307015098266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94826496"/>
        <c:axId val="94828032"/>
      </c:barChart>
      <c:catAx>
        <c:axId val="94826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29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4828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4828032"/>
        <c:scaling>
          <c:orientation val="minMax"/>
        </c:scaling>
        <c:delete val="0"/>
        <c:axPos val="b"/>
        <c:majorGridlines>
          <c:spPr>
            <a:ln w="2933">
              <a:solidFill>
                <a:sysClr val="window" lastClr="FFFFFF">
                  <a:lumMod val="85000"/>
                </a:sysClr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9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48264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5744521760361351E-2"/>
          <c:y val="0.76939611293527577"/>
          <c:w val="0.96716153940059824"/>
          <c:h val="0.22544635361875309"/>
        </c:manualLayout>
      </c:layout>
      <c:overlay val="0"/>
      <c:spPr>
        <a:noFill/>
        <a:ln w="12700">
          <a:solidFill>
            <a:sysClr val="windowText" lastClr="000000"/>
          </a:solidFill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1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615572443688439"/>
          <c:y val="0.14801173001522958"/>
          <c:w val="0.50841705762389455"/>
          <c:h val="0.4830076795956060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pattFill prst="dkVert">
                <a:fgClr>
                  <a:schemeClr val="tx2">
                    <a:lumMod val="75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pattFill prst="smCheck">
                <a:fgClr>
                  <a:schemeClr val="tx2">
                    <a:lumMod val="5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7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0.11683283647269049"/>
                  <c:y val="-0.27372411781860601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itchFamily="34" charset="0"/>
                        <a:cs typeface="Arial" pitchFamily="34" charset="0"/>
                      </a:rPr>
                      <a:t>добыча металлических  руд</a:t>
                    </a:r>
                    <a:r>
                      <a:rPr lang="ru-RU" sz="900" baseline="0">
                        <a:latin typeface="Arial" pitchFamily="34" charset="0"/>
                        <a:cs typeface="Arial" pitchFamily="34" charset="0"/>
                      </a:rPr>
                      <a:t> - </a:t>
                    </a:r>
                    <a:r>
                      <a:rPr lang="ru-RU" sz="900">
                        <a:latin typeface="Arial" pitchFamily="34" charset="0"/>
                        <a:cs typeface="Arial" pitchFamily="34" charset="0"/>
                      </a:rPr>
                      <a:t>11,</a:t>
                    </a:r>
                    <a:r>
                      <a:rPr lang="en-US" sz="900"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ru-RU" sz="900">
                        <a:latin typeface="Arial" pitchFamily="34" charset="0"/>
                        <a:cs typeface="Arial" pitchFamily="34" charset="0"/>
                      </a:rPr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11837760517627E-2"/>
                  <c:y val="-5.7431709925148247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itchFamily="34" charset="0"/>
                        <a:cs typeface="Arial" pitchFamily="34" charset="0"/>
                      </a:rPr>
                      <a:t>добыча сырой нефти и природного</a:t>
                    </a:r>
                    <a:r>
                      <a:rPr lang="ru-RU" sz="900" baseline="0">
                        <a:latin typeface="Arial" pitchFamily="34" charset="0"/>
                        <a:cs typeface="Arial" pitchFamily="34" charset="0"/>
                      </a:rPr>
                      <a:t> газа - </a:t>
                    </a:r>
                    <a:r>
                      <a:rPr lang="ru-RU" sz="900">
                        <a:latin typeface="Arial" pitchFamily="34" charset="0"/>
                        <a:cs typeface="Arial" pitchFamily="34" charset="0"/>
                      </a:rPr>
                      <a:t>41,2%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06060362997927E-2"/>
                  <c:y val="-6.033569877839344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itchFamily="34" charset="0"/>
                        <a:cs typeface="Arial" pitchFamily="34" charset="0"/>
                      </a:rPr>
                      <a:t>добыча угля - 7,2%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030319639586646E-2"/>
                  <c:y val="-0.11132918570363889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itchFamily="34" charset="0"/>
                        <a:cs typeface="Arial" pitchFamily="34" charset="0"/>
                      </a:rPr>
                      <a:t>добыча прочих полезных ископаемых - 20,1%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4232102990521769"/>
                  <c:y val="-1.2922458766728233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itchFamily="34" charset="0"/>
                        <a:cs typeface="Arial" pitchFamily="34" charset="0"/>
                      </a:rPr>
                      <a:t>предоставление услуг</a:t>
                    </a:r>
                    <a:r>
                      <a:rPr lang="ru-RU" sz="900" baseline="0">
                        <a:latin typeface="Arial" pitchFamily="34" charset="0"/>
                        <a:cs typeface="Arial" pitchFamily="34" charset="0"/>
                      </a:rPr>
                      <a:t> </a:t>
                    </a:r>
                    <a:r>
                      <a:rPr lang="ru-RU" sz="900">
                        <a:latin typeface="Arial" pitchFamily="34" charset="0"/>
                        <a:cs typeface="Arial" pitchFamily="34" charset="0"/>
                      </a:rPr>
                      <a:t>в области добычи полезных ископаемых -</a:t>
                    </a:r>
                    <a:r>
                      <a:rPr lang="ru-RU" sz="900" baseline="0">
                        <a:latin typeface="Arial" pitchFamily="34" charset="0"/>
                        <a:cs typeface="Arial" pitchFamily="34" charset="0"/>
                      </a:rPr>
                      <a:t> 8,7</a:t>
                    </a:r>
                    <a:r>
                      <a:rPr lang="ru-RU" sz="900">
                        <a:latin typeface="Arial" pitchFamily="34" charset="0"/>
                        <a:cs typeface="Arial" pitchFamily="34" charset="0"/>
                      </a:rPr>
                      <a:t>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660071565757167E-2"/>
                  <c:y val="0.11653834937299504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itchFamily="34" charset="0"/>
                        <a:cs typeface="Arial" pitchFamily="34" charset="0"/>
                      </a:rPr>
                      <a:t>обрабатывающие производства - </a:t>
                    </a:r>
                    <a:r>
                      <a:rPr lang="en-US" sz="900">
                        <a:latin typeface="Arial" pitchFamily="34" charset="0"/>
                        <a:cs typeface="Arial" pitchFamily="34" charset="0"/>
                      </a:rPr>
                      <a:t>4</a:t>
                    </a:r>
                    <a:r>
                      <a:rPr lang="ru-RU" sz="900">
                        <a:latin typeface="Arial" pitchFamily="34" charset="0"/>
                        <a:cs typeface="Arial" pitchFamily="34" charset="0"/>
                      </a:rPr>
                      <a:t>,0%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64838754238912E-2"/>
                  <c:y val="5.3497942386831275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itchFamily="34" charset="0"/>
                        <a:cs typeface="Arial" pitchFamily="34" charset="0"/>
                      </a:rPr>
                      <a:t>обеспечение электрической энергией, газом</a:t>
                    </a:r>
                    <a:r>
                      <a:rPr lang="ru-RU" sz="900" baseline="0">
                        <a:latin typeface="Arial" pitchFamily="34" charset="0"/>
                        <a:cs typeface="Arial" pitchFamily="34" charset="0"/>
                      </a:rPr>
                      <a:t> и паром; кондиционирова-ние воздуха - </a:t>
                    </a:r>
                    <a:r>
                      <a:rPr lang="en-US" sz="900">
                        <a:latin typeface="Arial" pitchFamily="34" charset="0"/>
                        <a:cs typeface="Arial" pitchFamily="34" charset="0"/>
                      </a:rPr>
                      <a:t>7</a:t>
                    </a:r>
                    <a:r>
                      <a:rPr lang="ru-RU" sz="900">
                        <a:latin typeface="Arial" pitchFamily="34" charset="0"/>
                        <a:cs typeface="Arial" pitchFamily="34" charset="0"/>
                      </a:rPr>
                      <a:t>,0%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399113226296628"/>
                  <c:y val="-6.6645280451054723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Arial" pitchFamily="34" charset="0"/>
                        <a:cs typeface="Arial" pitchFamily="34" charset="0"/>
                      </a:rPr>
                      <a:t>водоснабжение;</a:t>
                    </a:r>
                    <a:r>
                      <a:rPr lang="ru-RU" sz="900" baseline="0">
                        <a:latin typeface="Arial" pitchFamily="34" charset="0"/>
                        <a:cs typeface="Arial" pitchFamily="34" charset="0"/>
                      </a:rPr>
                      <a:t> водоотведение, организация сбора и утлизации отходов, деятельность по ликвидации загрязнений - </a:t>
                    </a:r>
                    <a:r>
                      <a:rPr lang="en-US" sz="900">
                        <a:latin typeface="Arial" pitchFamily="34" charset="0"/>
                        <a:cs typeface="Arial" pitchFamily="34" charset="0"/>
                      </a:rPr>
                      <a:t>0</a:t>
                    </a:r>
                    <a:r>
                      <a:rPr lang="ru-RU" sz="900">
                        <a:latin typeface="Arial" pitchFamily="34" charset="0"/>
                        <a:cs typeface="Arial" pitchFamily="34" charset="0"/>
                      </a:rPr>
                      <a:t>,7%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'отгрузка 2'!$C$3:$C$10</c:f>
              <c:strCache>
                <c:ptCount val="8"/>
                <c:pt idx="0">
                  <c:v>Добыча угля</c:v>
                </c:pt>
                <c:pt idx="1">
                  <c:v>Добыча сырой нефти и природного газа</c:v>
                </c:pt>
                <c:pt idx="2">
                  <c:v>Добыча металлических руд</c:v>
                </c:pt>
                <c:pt idx="3">
                  <c:v>Добыча прочих полезных ископаемых</c:v>
                </c:pt>
                <c:pt idx="4">
                  <c:v>Предоставление услуг в области добычи полезных ископаемых</c:v>
                </c:pt>
                <c:pt idx="5">
                  <c:v>Обрабатывающие производства</c:v>
                </c:pt>
                <c:pt idx="6">
                  <c:v>Обеспечение электрической энергией, газом и паром; кондиционирование воздуха</c:v>
                </c:pt>
                <c:pt idx="7">
                  <c:v>Водоснабжение; водоотведение, организация сбора и утилизации отходов, деятельность по ликвидации загрязнений</c:v>
                </c:pt>
              </c:strCache>
            </c:strRef>
          </c:cat>
          <c:val>
            <c:numRef>
              <c:f>'отгрузка 2'!$D$3:$D$10</c:f>
              <c:numCache>
                <c:formatCode>0.0</c:formatCode>
                <c:ptCount val="8"/>
                <c:pt idx="0">
                  <c:v>7.1699485310523299</c:v>
                </c:pt>
                <c:pt idx="1">
                  <c:v>41.189048788942692</c:v>
                </c:pt>
                <c:pt idx="2">
                  <c:v>11.052029717937979</c:v>
                </c:pt>
                <c:pt idx="3">
                  <c:v>20.104102168227175</c:v>
                </c:pt>
                <c:pt idx="4">
                  <c:v>8.735407428970376</c:v>
                </c:pt>
                <c:pt idx="5">
                  <c:v>4.0220281935333793</c:v>
                </c:pt>
                <c:pt idx="6">
                  <c:v>7.0485699167467137</c:v>
                </c:pt>
                <c:pt idx="7">
                  <c:v>0.67886515503119715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2629709985942167E-2"/>
          <c:y val="5.5521315649497298E-2"/>
          <c:w val="0.92454921462990503"/>
          <c:h val="0.608108515124140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ипп!$O$5</c:f>
              <c:strCache>
                <c:ptCount val="1"/>
                <c:pt idx="0">
                  <c:v>Добыча сырой нефти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184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108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106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101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118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116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>
                  <a:lumMod val="65000"/>
                </a:sysClr>
              </a:solidFill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ипп!$P$2:$U$2</c:f>
              <c:numCache>
                <c:formatCode>General</c:formatCode>
                <c:ptCount val="6"/>
                <c:pt idx="0">
                  <c:v>2010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ипп!$P$5:$U$5</c:f>
              <c:numCache>
                <c:formatCode>General</c:formatCode>
                <c:ptCount val="6"/>
                <c:pt idx="0">
                  <c:v>184.1</c:v>
                </c:pt>
                <c:pt idx="1">
                  <c:v>108.6</c:v>
                </c:pt>
                <c:pt idx="2">
                  <c:v>106.9</c:v>
                </c:pt>
                <c:pt idx="3">
                  <c:v>101.3</c:v>
                </c:pt>
                <c:pt idx="4">
                  <c:v>118.8</c:v>
                </c:pt>
                <c:pt idx="5">
                  <c:v>116.7</c:v>
                </c:pt>
              </c:numCache>
            </c:numRef>
          </c:val>
        </c:ser>
        <c:ser>
          <c:idx val="1"/>
          <c:order val="1"/>
          <c:tx>
            <c:strRef>
              <c:f>ипп!$O$4</c:f>
              <c:strCache>
                <c:ptCount val="1"/>
                <c:pt idx="0">
                  <c:v>Добыча прочих полезных ископаемых, не включенных в другие группировки</c:v>
                </c:pt>
              </c:strCache>
            </c:strRef>
          </c:tx>
          <c:spPr>
            <a:solidFill>
              <a:srgbClr val="FFFFCC"/>
            </a:solidFill>
            <a:ln w="127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104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103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94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104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101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CC"/>
              </a:solidFill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ипп!$P$2:$U$2</c:f>
              <c:numCache>
                <c:formatCode>General</c:formatCode>
                <c:ptCount val="6"/>
                <c:pt idx="0">
                  <c:v>2010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ипп!$P$4:$U$4</c:f>
              <c:numCache>
                <c:formatCode>General</c:formatCode>
                <c:ptCount val="6"/>
                <c:pt idx="0">
                  <c:v>104.3</c:v>
                </c:pt>
                <c:pt idx="1">
                  <c:v>103.4</c:v>
                </c:pt>
                <c:pt idx="2">
                  <c:v>94.4</c:v>
                </c:pt>
                <c:pt idx="3">
                  <c:v>104.7</c:v>
                </c:pt>
                <c:pt idx="4">
                  <c:v>96</c:v>
                </c:pt>
                <c:pt idx="5">
                  <c:v>101.1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96704384"/>
        <c:axId val="96705920"/>
      </c:barChart>
      <c:lineChart>
        <c:grouping val="standard"/>
        <c:varyColors val="0"/>
        <c:ser>
          <c:idx val="2"/>
          <c:order val="2"/>
          <c:tx>
            <c:strRef>
              <c:f>ипп!$O$3</c:f>
              <c:strCache>
                <c:ptCount val="1"/>
                <c:pt idx="0">
                  <c:v>Агрегированный индекс промышленного производства</c:v>
                </c:pt>
              </c:strCache>
            </c:strRef>
          </c:tx>
          <c:spPr>
            <a:ln w="38141">
              <a:solidFill>
                <a:schemeClr val="accent1">
                  <a:lumMod val="75000"/>
                </a:schemeClr>
              </a:solidFill>
              <a:prstDash val="solid"/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rgbClr val="008080"/>
                </a:solidFill>
                <a:prstDash val="solid"/>
              </a:ln>
            </c:spPr>
          </c:marke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122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105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102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107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111</a:t>
                    </a:r>
                    <a:r>
                      <a:rPr lang="ru-RU"/>
                      <a:t>,</a:t>
                    </a:r>
                    <a:r>
                      <a:rPr lang="en-US"/>
                      <a:t>2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rgbClr val="4F81BD">
                    <a:lumMod val="50000"/>
                  </a:srgbClr>
                </a:solidFill>
              </a:ln>
            </c:spPr>
            <c:txPr>
              <a:bodyPr/>
              <a:lstStyle/>
              <a:p>
                <a:pPr>
                  <a:defRPr sz="900" b="1">
                    <a:solidFill>
                      <a:schemeClr val="tx2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ипп!$P$2:$U$2</c:f>
              <c:numCache>
                <c:formatCode>General</c:formatCode>
                <c:ptCount val="6"/>
                <c:pt idx="0">
                  <c:v>2010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ипп!$P$3:$U$3</c:f>
              <c:numCache>
                <c:formatCode>General</c:formatCode>
                <c:ptCount val="6"/>
                <c:pt idx="0">
                  <c:v>122.8</c:v>
                </c:pt>
                <c:pt idx="1">
                  <c:v>105.8</c:v>
                </c:pt>
                <c:pt idx="2">
                  <c:v>100.8</c:v>
                </c:pt>
                <c:pt idx="3">
                  <c:v>102.5</c:v>
                </c:pt>
                <c:pt idx="4">
                  <c:v>107.6</c:v>
                </c:pt>
                <c:pt idx="5">
                  <c:v>111.2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704384"/>
        <c:axId val="96705920"/>
      </c:lineChart>
      <c:catAx>
        <c:axId val="9670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670592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6705920"/>
        <c:scaling>
          <c:orientation val="minMax"/>
          <c:max val="20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67043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8.1161356378440325E-2"/>
          <c:y val="0.76261525448853773"/>
          <c:w val="0.86565954023548919"/>
          <c:h val="0.23738474551146224"/>
        </c:manualLayout>
      </c:layout>
      <c:overlay val="0"/>
      <c:spPr>
        <a:noFill/>
        <a:ln w="12700">
          <a:solidFill>
            <a:sysClr val="windowText" lastClr="000000"/>
          </a:solidFill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ИНДЕКС ПРОМЫШЛЕННОГО ПРОИЗВОДСТВА ПО РЕГИОНАМ ДАЛЬНЕВОСТОЧНОГО ФЕДЕРАЛЬНОГО ОКРУГА ЗА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2019 ГОД</a:t>
            </a:r>
            <a:r>
              <a:rPr lang="ru-RU" sz="1000">
                <a:latin typeface="Times New Roman" pitchFamily="18" charset="0"/>
                <a:cs typeface="Times New Roman" pitchFamily="18" charset="0"/>
              </a:rPr>
              <a:t>                                                                    </a:t>
            </a:r>
            <a:r>
              <a:rPr lang="ru-RU" sz="1100" b="0">
                <a:latin typeface="Times New Roman" pitchFamily="18" charset="0"/>
                <a:cs typeface="Times New Roman" pitchFamily="18" charset="0"/>
              </a:rPr>
              <a:t>(в % к предыдущему году)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35855846192600577"/>
          <c:y val="0.23687331119008354"/>
          <c:w val="0.53264799330424262"/>
          <c:h val="0.65882640776097734"/>
        </c:manualLayout>
      </c:layout>
      <c:barChart>
        <c:barDir val="bar"/>
        <c:grouping val="clustered"/>
        <c:varyColors val="0"/>
        <c:ser>
          <c:idx val="0"/>
          <c:order val="0"/>
          <c:spPr>
            <a:noFill/>
            <a:ln w="19050">
              <a:solidFill>
                <a:schemeClr val="accent1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accent1"/>
                </a:solidFill>
              </a:ln>
            </c:spPr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Lbls>
            <c:numFmt formatCode="0.0" sourceLinked="0"/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Камчатский край</c:v>
                </c:pt>
                <c:pt idx="1">
                  <c:v>Еврейская автономная область</c:v>
                </c:pt>
                <c:pt idx="2">
                  <c:v>Сахалинская область</c:v>
                </c:pt>
                <c:pt idx="3">
                  <c:v>Хабаровский край</c:v>
                </c:pt>
                <c:pt idx="4">
                  <c:v>Забайкальский край</c:v>
                </c:pt>
                <c:pt idx="5">
                  <c:v>Чукотский автономный округ</c:v>
                </c:pt>
                <c:pt idx="6">
                  <c:v>Амурская область</c:v>
                </c:pt>
                <c:pt idx="7">
                  <c:v>Республика Саха (Якутия)</c:v>
                </c:pt>
                <c:pt idx="8">
                  <c:v>Республика Бурятия</c:v>
                </c:pt>
                <c:pt idx="9">
                  <c:v>Магаданская область</c:v>
                </c:pt>
                <c:pt idx="10">
                  <c:v>Приморский край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95.4</c:v>
                </c:pt>
                <c:pt idx="1">
                  <c:v>102.7</c:v>
                </c:pt>
                <c:pt idx="2">
                  <c:v>102.8</c:v>
                </c:pt>
                <c:pt idx="3">
                  <c:v>105.1</c:v>
                </c:pt>
                <c:pt idx="4">
                  <c:v>105.6</c:v>
                </c:pt>
                <c:pt idx="5">
                  <c:v>105.8</c:v>
                </c:pt>
                <c:pt idx="6">
                  <c:v>109.9</c:v>
                </c:pt>
                <c:pt idx="7">
                  <c:v>111.2</c:v>
                </c:pt>
                <c:pt idx="8">
                  <c:v>112.1</c:v>
                </c:pt>
                <c:pt idx="9">
                  <c:v>112.6</c:v>
                </c:pt>
                <c:pt idx="10">
                  <c:v>118.2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6772864"/>
        <c:axId val="96784384"/>
      </c:barChart>
      <c:catAx>
        <c:axId val="9677286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6784384"/>
        <c:crosses val="autoZero"/>
        <c:auto val="1"/>
        <c:lblAlgn val="ctr"/>
        <c:lblOffset val="100"/>
        <c:noMultiLvlLbl val="0"/>
      </c:catAx>
      <c:valAx>
        <c:axId val="96784384"/>
        <c:scaling>
          <c:orientation val="minMax"/>
        </c:scaling>
        <c:delete val="0"/>
        <c:axPos val="b"/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6772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p14_DolgunovaVV</dc:creator>
  <cp:lastModifiedBy>p14_DolgunovaVV</cp:lastModifiedBy>
  <cp:revision>8</cp:revision>
  <dcterms:created xsi:type="dcterms:W3CDTF">2020-10-30T01:38:00Z</dcterms:created>
  <dcterms:modified xsi:type="dcterms:W3CDTF">2020-10-30T03:00:00Z</dcterms:modified>
</cp:coreProperties>
</file>